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D0CEB" w14:textId="77777777" w:rsidR="00A7684C" w:rsidRPr="00701EFD" w:rsidRDefault="00A7684C" w:rsidP="00DB6D20">
      <w:pPr>
        <w:jc w:val="both"/>
        <w:rPr>
          <w:lang w:val="en-US"/>
        </w:rPr>
      </w:pPr>
    </w:p>
    <w:p w14:paraId="44B5681D" w14:textId="77777777" w:rsidR="00A7684C" w:rsidRPr="00701EFD" w:rsidRDefault="00A7684C" w:rsidP="00DB6D20">
      <w:pPr>
        <w:jc w:val="both"/>
        <w:rPr>
          <w:lang w:val="en-US"/>
        </w:rPr>
      </w:pPr>
    </w:p>
    <w:p w14:paraId="7E680B14" w14:textId="77777777" w:rsidR="00A7684C" w:rsidRPr="00701EFD" w:rsidRDefault="00A7684C" w:rsidP="00DB6D20">
      <w:pPr>
        <w:jc w:val="both"/>
        <w:rPr>
          <w:lang w:val="en-US"/>
        </w:rPr>
      </w:pPr>
    </w:p>
    <w:p w14:paraId="787E09B4" w14:textId="77777777" w:rsidR="00A7684C" w:rsidRPr="00701EFD" w:rsidRDefault="00A7684C" w:rsidP="00DB6D20">
      <w:pPr>
        <w:jc w:val="both"/>
        <w:rPr>
          <w:lang w:val="en-US"/>
        </w:rPr>
      </w:pPr>
    </w:p>
    <w:p w14:paraId="16473FF2" w14:textId="77777777" w:rsidR="00A7684C" w:rsidRPr="00701EFD" w:rsidRDefault="00A7684C" w:rsidP="00DB6D20">
      <w:pPr>
        <w:jc w:val="both"/>
        <w:rPr>
          <w:color w:val="00204E" w:themeColor="text1"/>
          <w:sz w:val="72"/>
          <w:szCs w:val="72"/>
          <w:lang w:val="en-US"/>
        </w:rPr>
      </w:pPr>
    </w:p>
    <w:p w14:paraId="066CDA1E" w14:textId="77777777" w:rsidR="00166882" w:rsidRPr="00701EFD" w:rsidRDefault="00166882" w:rsidP="00DB6D20">
      <w:pPr>
        <w:jc w:val="both"/>
        <w:rPr>
          <w:color w:val="00204E" w:themeColor="text1"/>
          <w:sz w:val="72"/>
          <w:szCs w:val="72"/>
          <w:lang w:val="en-US"/>
        </w:rPr>
      </w:pPr>
    </w:p>
    <w:p w14:paraId="0B7790D4" w14:textId="77777777" w:rsidR="00166882" w:rsidRPr="00701EFD" w:rsidRDefault="00166882" w:rsidP="00DB6D20">
      <w:pPr>
        <w:jc w:val="both"/>
        <w:rPr>
          <w:color w:val="00204E" w:themeColor="text1"/>
          <w:sz w:val="72"/>
          <w:szCs w:val="72"/>
          <w:lang w:val="en-US"/>
        </w:rPr>
      </w:pPr>
    </w:p>
    <w:p w14:paraId="466CDCA3" w14:textId="18F85F95" w:rsidR="005D2301" w:rsidRPr="00701EFD" w:rsidRDefault="00166882" w:rsidP="00DB6D20">
      <w:pPr>
        <w:jc w:val="both"/>
        <w:rPr>
          <w:color w:val="00204E" w:themeColor="text1"/>
          <w:sz w:val="72"/>
          <w:szCs w:val="72"/>
          <w:lang w:val="en-US"/>
        </w:rPr>
      </w:pPr>
      <w:r w:rsidRPr="00701EFD">
        <w:rPr>
          <w:color w:val="00204E" w:themeColor="text1"/>
          <w:sz w:val="72"/>
          <w:szCs w:val="72"/>
          <w:lang w:val="en-US"/>
        </w:rPr>
        <w:t>Terms of Reference</w:t>
      </w:r>
    </w:p>
    <w:p w14:paraId="4F64421C" w14:textId="478A27F9" w:rsidR="005D2301" w:rsidRPr="00701EFD" w:rsidRDefault="00147F90" w:rsidP="00DB6D20">
      <w:pPr>
        <w:pStyle w:val="Subtitle"/>
        <w:jc w:val="both"/>
        <w:rPr>
          <w:rFonts w:asciiTheme="minorHAnsi" w:hAnsiTheme="minorHAnsi"/>
          <w:color w:val="00204E" w:themeColor="text1"/>
          <w:sz w:val="72"/>
          <w:szCs w:val="72"/>
          <w:lang w:val="en-US"/>
        </w:rPr>
      </w:pPr>
      <w:r w:rsidRPr="00701EFD">
        <w:rPr>
          <w:rFonts w:asciiTheme="minorHAnsi" w:hAnsiTheme="minorHAnsi"/>
          <w:lang w:val="en-US"/>
        </w:rPr>
        <w:t>Thematic Evaluation on External Oversight of the Security Sector</w:t>
      </w:r>
    </w:p>
    <w:p w14:paraId="544905A3" w14:textId="77777777" w:rsidR="005D2301" w:rsidRPr="00701EFD" w:rsidRDefault="005D2301" w:rsidP="00DB6D20">
      <w:pPr>
        <w:jc w:val="both"/>
        <w:rPr>
          <w:color w:val="00204E" w:themeColor="text1"/>
          <w:sz w:val="72"/>
          <w:szCs w:val="72"/>
          <w:lang w:val="en-US"/>
        </w:rPr>
      </w:pPr>
    </w:p>
    <w:p w14:paraId="106A1369" w14:textId="04FBC340" w:rsidR="005D2301" w:rsidRPr="00701EFD" w:rsidRDefault="005D2301" w:rsidP="00DB6D20">
      <w:pPr>
        <w:jc w:val="both"/>
        <w:rPr>
          <w:color w:val="00204E" w:themeColor="text1"/>
          <w:sz w:val="72"/>
          <w:szCs w:val="72"/>
          <w:lang w:val="en-US"/>
        </w:rPr>
      </w:pPr>
    </w:p>
    <w:p w14:paraId="497E247F" w14:textId="074B0976" w:rsidR="00166882" w:rsidRPr="00701EFD" w:rsidRDefault="00166882" w:rsidP="00DB6D20">
      <w:pPr>
        <w:jc w:val="both"/>
        <w:rPr>
          <w:color w:val="00204E" w:themeColor="text1"/>
          <w:sz w:val="72"/>
          <w:szCs w:val="72"/>
          <w:lang w:val="en-US"/>
        </w:rPr>
      </w:pPr>
    </w:p>
    <w:p w14:paraId="595ECE33" w14:textId="77777777" w:rsidR="00166882" w:rsidRPr="00701EFD" w:rsidRDefault="00166882" w:rsidP="00DB6D20">
      <w:pPr>
        <w:jc w:val="both"/>
        <w:rPr>
          <w:color w:val="00204E" w:themeColor="text1"/>
          <w:sz w:val="72"/>
          <w:szCs w:val="72"/>
          <w:lang w:val="en-US"/>
        </w:rPr>
      </w:pPr>
    </w:p>
    <w:p w14:paraId="50776AC6" w14:textId="041A88ED" w:rsidR="005D2301" w:rsidRPr="00701EFD" w:rsidRDefault="00166882" w:rsidP="00DB6D20">
      <w:pPr>
        <w:jc w:val="both"/>
        <w:rPr>
          <w:rStyle w:val="Strong"/>
          <w:lang w:val="en-US"/>
        </w:rPr>
      </w:pPr>
      <w:r w:rsidRPr="00701EFD">
        <w:rPr>
          <w:rStyle w:val="Strong"/>
          <w:lang w:val="en-US"/>
        </w:rPr>
        <w:t>August 2021</w:t>
      </w:r>
    </w:p>
    <w:p w14:paraId="691EDF9C" w14:textId="77777777" w:rsidR="00B37943" w:rsidRPr="00701EFD" w:rsidRDefault="00B37943">
      <w:pPr>
        <w:spacing w:before="0" w:after="200" w:line="276" w:lineRule="auto"/>
        <w:rPr>
          <w:lang w:val="en-US"/>
        </w:rPr>
      </w:pPr>
      <w:r w:rsidRPr="00701EFD">
        <w:rPr>
          <w:lang w:val="en-US"/>
        </w:rPr>
        <w:br w:type="page"/>
      </w:r>
    </w:p>
    <w:p w14:paraId="423BEECD" w14:textId="6925917E" w:rsidR="00166882" w:rsidRPr="00701EFD" w:rsidRDefault="00166882" w:rsidP="00DB6D20">
      <w:pPr>
        <w:jc w:val="both"/>
        <w:rPr>
          <w:b/>
          <w:bCs/>
          <w:sz w:val="32"/>
          <w:szCs w:val="32"/>
          <w:lang w:val="en-US"/>
        </w:rPr>
      </w:pPr>
      <w:r w:rsidRPr="00701EFD">
        <w:rPr>
          <w:b/>
          <w:bCs/>
          <w:sz w:val="32"/>
          <w:szCs w:val="32"/>
          <w:lang w:val="en-US"/>
        </w:rPr>
        <w:lastRenderedPageBreak/>
        <w:t>1. Background</w:t>
      </w:r>
    </w:p>
    <w:p w14:paraId="1044FDD3" w14:textId="4459162B" w:rsidR="00166882" w:rsidRPr="00701EFD" w:rsidRDefault="00147F90" w:rsidP="00DB6D20">
      <w:pPr>
        <w:jc w:val="both"/>
        <w:rPr>
          <w:b/>
          <w:bCs/>
          <w:sz w:val="26"/>
          <w:szCs w:val="26"/>
          <w:lang w:val="en-US"/>
        </w:rPr>
      </w:pPr>
      <w:r w:rsidRPr="00701EFD">
        <w:rPr>
          <w:b/>
          <w:bCs/>
          <w:sz w:val="26"/>
          <w:szCs w:val="26"/>
          <w:lang w:val="en-US"/>
        </w:rPr>
        <w:t xml:space="preserve">About </w:t>
      </w:r>
      <w:r w:rsidR="00166882" w:rsidRPr="00701EFD">
        <w:rPr>
          <w:b/>
          <w:bCs/>
          <w:sz w:val="26"/>
          <w:szCs w:val="26"/>
          <w:lang w:val="en-US"/>
        </w:rPr>
        <w:t>DCAF</w:t>
      </w:r>
    </w:p>
    <w:p w14:paraId="41CA48D7" w14:textId="54F16870" w:rsidR="00166882" w:rsidRPr="00701EFD" w:rsidRDefault="00166882" w:rsidP="00DB6D20">
      <w:pPr>
        <w:jc w:val="both"/>
        <w:rPr>
          <w:lang w:val="en-US"/>
        </w:rPr>
      </w:pPr>
      <w:r w:rsidRPr="00701EFD">
        <w:rPr>
          <w:lang w:val="en-US"/>
        </w:rPr>
        <w:t xml:space="preserve">The Geneva Centre for Security Sector Governance (DCAF) is an </w:t>
      </w:r>
      <w:r w:rsidR="00D63BBF" w:rsidRPr="00701EFD">
        <w:rPr>
          <w:lang w:val="en-US"/>
        </w:rPr>
        <w:t>organization</w:t>
      </w:r>
      <w:r w:rsidRPr="00701EFD">
        <w:rPr>
          <w:lang w:val="en-US"/>
        </w:rPr>
        <w:t xml:space="preserve"> dedicated to improving the security of states and their people within a framework of democratic governance, the rule of law, and respect for human rights. DCAF contributes to making peace and development more sustainable by assisting partner states, and international actors supporting these states, to improve the governance of their security sector through inclusive and participatory reforms. It creates innovative knowledge products, promotes norms and good practices, provides legal and policy </w:t>
      </w:r>
      <w:proofErr w:type="gramStart"/>
      <w:r w:rsidRPr="00701EFD">
        <w:rPr>
          <w:lang w:val="en-US"/>
        </w:rPr>
        <w:t>advice</w:t>
      </w:r>
      <w:proofErr w:type="gramEnd"/>
      <w:r w:rsidRPr="00701EFD">
        <w:rPr>
          <w:lang w:val="en-US"/>
        </w:rPr>
        <w:t xml:space="preserve"> and supports capacity</w:t>
      </w:r>
      <w:r w:rsidRPr="00701EFD">
        <w:rPr>
          <w:rFonts w:ascii="Times New Roman" w:hAnsi="Times New Roman" w:cs="Times New Roman"/>
          <w:lang w:val="en-US"/>
        </w:rPr>
        <w:t>‐</w:t>
      </w:r>
      <w:r w:rsidRPr="00701EFD">
        <w:rPr>
          <w:lang w:val="en-US"/>
        </w:rPr>
        <w:t>building of both state and non</w:t>
      </w:r>
      <w:r w:rsidRPr="00701EFD">
        <w:rPr>
          <w:rFonts w:ascii="Times New Roman" w:hAnsi="Times New Roman" w:cs="Times New Roman"/>
          <w:lang w:val="en-US"/>
        </w:rPr>
        <w:t>‐</w:t>
      </w:r>
      <w:r w:rsidRPr="00701EFD">
        <w:rPr>
          <w:lang w:val="en-US"/>
        </w:rPr>
        <w:t>state security sector stakeholders.</w:t>
      </w:r>
    </w:p>
    <w:p w14:paraId="3212DE0A" w14:textId="3FE32AB0" w:rsidR="009C1D08" w:rsidRPr="00701EFD" w:rsidRDefault="00166882" w:rsidP="00B37943">
      <w:pPr>
        <w:spacing w:before="0" w:after="0"/>
        <w:jc w:val="both"/>
        <w:rPr>
          <w:lang w:val="en-US"/>
        </w:rPr>
      </w:pPr>
      <w:r w:rsidRPr="00701EFD">
        <w:rPr>
          <w:lang w:val="en-US"/>
        </w:rPr>
        <w:t xml:space="preserve">DCAF's Foundation Council comprises 63 member states, the Canton of Geneva and six permanent observers. Active in over 70 countries, DCAF is internationally recognized as one of the world's leading </w:t>
      </w:r>
      <w:r w:rsidR="00D63BBF" w:rsidRPr="00701EFD">
        <w:rPr>
          <w:lang w:val="en-US"/>
        </w:rPr>
        <w:t>centers</w:t>
      </w:r>
      <w:r w:rsidRPr="00701EFD">
        <w:rPr>
          <w:lang w:val="en-US"/>
        </w:rPr>
        <w:t xml:space="preserve"> of excellence for security sector governance (SSG) and security sector reform (SSR). DCAF is guided by the principles of neutrality, impartiality, local ownership, inclusive participation, and gender equality. For more </w:t>
      </w:r>
      <w:r w:rsidR="00D63BBF" w:rsidRPr="00701EFD">
        <w:rPr>
          <w:lang w:val="en-US"/>
        </w:rPr>
        <w:t>information,</w:t>
      </w:r>
      <w:r w:rsidRPr="00701EFD">
        <w:rPr>
          <w:lang w:val="en-US"/>
        </w:rPr>
        <w:t xml:space="preserve"> please visit</w:t>
      </w:r>
      <w:r w:rsidR="008A2E09">
        <w:rPr>
          <w:lang w:val="en-US"/>
        </w:rPr>
        <w:t xml:space="preserve"> </w:t>
      </w:r>
      <w:hyperlink r:id="rId12" w:history="1">
        <w:r w:rsidR="008A2E09" w:rsidRPr="00FD0B75">
          <w:rPr>
            <w:rStyle w:val="Hyperlink"/>
            <w:lang w:val="en-US"/>
          </w:rPr>
          <w:t>www.dcaf.ch</w:t>
        </w:r>
      </w:hyperlink>
      <w:r w:rsidR="008A2E09">
        <w:rPr>
          <w:lang w:val="en-US"/>
        </w:rPr>
        <w:t xml:space="preserve"> </w:t>
      </w:r>
    </w:p>
    <w:p w14:paraId="32AE2EA3" w14:textId="77777777" w:rsidR="00B37943" w:rsidRPr="00701EFD" w:rsidRDefault="00B37943" w:rsidP="00B37943">
      <w:pPr>
        <w:spacing w:before="0" w:after="0"/>
        <w:jc w:val="both"/>
        <w:rPr>
          <w:b/>
          <w:bCs/>
          <w:sz w:val="26"/>
          <w:szCs w:val="26"/>
          <w:lang w:val="en-US"/>
        </w:rPr>
      </w:pPr>
    </w:p>
    <w:p w14:paraId="69B06BB5" w14:textId="2990CA50" w:rsidR="00147F90" w:rsidRPr="00701EFD" w:rsidRDefault="00147F90" w:rsidP="00B37943">
      <w:pPr>
        <w:spacing w:before="0" w:after="0"/>
        <w:jc w:val="both"/>
        <w:rPr>
          <w:b/>
          <w:bCs/>
          <w:sz w:val="26"/>
          <w:szCs w:val="26"/>
          <w:lang w:val="en-US"/>
        </w:rPr>
      </w:pPr>
      <w:r w:rsidRPr="00701EFD">
        <w:rPr>
          <w:b/>
          <w:bCs/>
          <w:sz w:val="26"/>
          <w:szCs w:val="26"/>
          <w:lang w:val="en-US"/>
        </w:rPr>
        <w:t>External Oversight</w:t>
      </w:r>
    </w:p>
    <w:p w14:paraId="6696E455" w14:textId="77777777" w:rsidR="00B37943" w:rsidRPr="00701EFD" w:rsidRDefault="00B37943" w:rsidP="00B37943">
      <w:pPr>
        <w:spacing w:before="0" w:after="0"/>
        <w:jc w:val="both"/>
        <w:rPr>
          <w:rFonts w:cs="Calibri"/>
          <w:sz w:val="22"/>
          <w:lang w:val="en-US"/>
        </w:rPr>
      </w:pPr>
    </w:p>
    <w:p w14:paraId="00F844D9" w14:textId="344C1A3A" w:rsidR="00553DFD" w:rsidRPr="00701EFD" w:rsidRDefault="00C4717B" w:rsidP="00B37943">
      <w:pPr>
        <w:spacing w:before="0" w:after="0"/>
        <w:jc w:val="both"/>
        <w:rPr>
          <w:lang w:val="en-US"/>
        </w:rPr>
      </w:pPr>
      <w:r w:rsidRPr="00701EFD">
        <w:rPr>
          <w:lang w:val="en-US"/>
        </w:rPr>
        <w:t xml:space="preserve">Democratic oversight, as both an established international norm and an essential trait of a democratic state, is a crucial component of good security sector governance. </w:t>
      </w:r>
      <w:r w:rsidR="005F7044" w:rsidRPr="00701EFD">
        <w:rPr>
          <w:lang w:val="en-US"/>
        </w:rPr>
        <w:t xml:space="preserve">Oversight ensures that state resources are managed efficiently and effectively, the security sector personnel </w:t>
      </w:r>
      <w:r w:rsidR="0007693B" w:rsidRPr="00701EFD">
        <w:rPr>
          <w:lang w:val="en-US"/>
        </w:rPr>
        <w:t>behave</w:t>
      </w:r>
      <w:r w:rsidR="005F7044" w:rsidRPr="00701EFD">
        <w:rPr>
          <w:lang w:val="en-US"/>
        </w:rPr>
        <w:t xml:space="preserve"> with </w:t>
      </w:r>
      <w:r w:rsidR="0007693B" w:rsidRPr="00701EFD">
        <w:rPr>
          <w:lang w:val="en-US"/>
        </w:rPr>
        <w:t>honor</w:t>
      </w:r>
      <w:r w:rsidR="005F7044" w:rsidRPr="00701EFD">
        <w:rPr>
          <w:lang w:val="en-US"/>
        </w:rPr>
        <w:t xml:space="preserve"> and integrity, </w:t>
      </w:r>
      <w:r w:rsidR="007D1D2D" w:rsidRPr="00701EFD">
        <w:rPr>
          <w:lang w:val="en-US"/>
        </w:rPr>
        <w:t>misconduct</w:t>
      </w:r>
      <w:r w:rsidR="005F7044" w:rsidRPr="00701EFD">
        <w:rPr>
          <w:lang w:val="en-US"/>
        </w:rPr>
        <w:t xml:space="preserve"> </w:t>
      </w:r>
      <w:r w:rsidR="007D1D2D" w:rsidRPr="00701EFD">
        <w:rPr>
          <w:lang w:val="en-US"/>
        </w:rPr>
        <w:t xml:space="preserve">is </w:t>
      </w:r>
      <w:r w:rsidR="005F7044" w:rsidRPr="00701EFD">
        <w:rPr>
          <w:lang w:val="en-US"/>
        </w:rPr>
        <w:t xml:space="preserve">detected and corrected, and those who commit </w:t>
      </w:r>
      <w:r w:rsidR="007D1D2D" w:rsidRPr="00701EFD">
        <w:rPr>
          <w:lang w:val="en-US"/>
        </w:rPr>
        <w:t xml:space="preserve">abuses </w:t>
      </w:r>
      <w:r w:rsidR="005F7044" w:rsidRPr="00701EFD">
        <w:rPr>
          <w:lang w:val="en-US"/>
        </w:rPr>
        <w:t xml:space="preserve">are held accountable. </w:t>
      </w:r>
      <w:r w:rsidR="00A602A2" w:rsidRPr="00701EFD">
        <w:rPr>
          <w:lang w:val="en-US"/>
        </w:rPr>
        <w:t xml:space="preserve">Within such a framework, accountability is provided through internal and external supervision of security providers. </w:t>
      </w:r>
    </w:p>
    <w:p w14:paraId="6153E9E1" w14:textId="0903AFB0" w:rsidR="00A602A2" w:rsidRPr="00701EFD" w:rsidRDefault="0007693B" w:rsidP="00DB6D20">
      <w:pPr>
        <w:jc w:val="both"/>
        <w:rPr>
          <w:lang w:val="en-US"/>
        </w:rPr>
      </w:pPr>
      <w:r w:rsidRPr="00701EFD">
        <w:rPr>
          <w:lang w:val="en-US"/>
        </w:rPr>
        <w:t xml:space="preserve">Non-State governance and oversight mechanisms like </w:t>
      </w:r>
      <w:r w:rsidR="00553DFD" w:rsidRPr="00701EFD">
        <w:rPr>
          <w:lang w:val="en-US"/>
        </w:rPr>
        <w:t>independent bodies, civil society</w:t>
      </w:r>
      <w:r w:rsidR="00C4717B" w:rsidRPr="00701EFD">
        <w:rPr>
          <w:lang w:val="en-US"/>
        </w:rPr>
        <w:t>,</w:t>
      </w:r>
      <w:r w:rsidRPr="00701EFD">
        <w:rPr>
          <w:lang w:val="en-US"/>
        </w:rPr>
        <w:t xml:space="preserve"> and the media, help ensure that the security and justice services provided by relevant authorities are delivered in accordance with the rule of law, and that they advance the well-being of the society as a whole and </w:t>
      </w:r>
      <w:r w:rsidR="00553DFD" w:rsidRPr="00701EFD">
        <w:rPr>
          <w:lang w:val="en-US"/>
        </w:rPr>
        <w:t>its</w:t>
      </w:r>
      <w:r w:rsidRPr="00701EFD">
        <w:rPr>
          <w:lang w:val="en-US"/>
        </w:rPr>
        <w:t xml:space="preserve"> vulnerable groups. They can act as a platform to voice the concerns of the people affected by poor security and justice delivery and help ensure that SSG/R </w:t>
      </w:r>
      <w:proofErr w:type="spellStart"/>
      <w:r w:rsidRPr="00701EFD">
        <w:rPr>
          <w:lang w:val="en-US"/>
        </w:rPr>
        <w:t>programmes</w:t>
      </w:r>
      <w:proofErr w:type="spellEnd"/>
      <w:r w:rsidRPr="00701EFD">
        <w:rPr>
          <w:lang w:val="en-US"/>
        </w:rPr>
        <w:t xml:space="preserve"> are representative, inclusive and </w:t>
      </w:r>
      <w:r w:rsidR="00553DFD" w:rsidRPr="00701EFD">
        <w:rPr>
          <w:lang w:val="en-US"/>
        </w:rPr>
        <w:t>people centered</w:t>
      </w:r>
      <w:r w:rsidRPr="00701EFD">
        <w:rPr>
          <w:lang w:val="en-US"/>
        </w:rPr>
        <w:t>.</w:t>
      </w:r>
    </w:p>
    <w:p w14:paraId="6D77A044" w14:textId="77777777" w:rsidR="00B2098E" w:rsidRPr="00701EFD" w:rsidRDefault="00B2098E" w:rsidP="00DB6D20">
      <w:pPr>
        <w:jc w:val="both"/>
        <w:rPr>
          <w:rFonts w:cs="Calibri"/>
          <w:sz w:val="22"/>
          <w:lang w:val="en-US"/>
        </w:rPr>
      </w:pPr>
    </w:p>
    <w:p w14:paraId="748DCCC8" w14:textId="6E1711C8" w:rsidR="00032322" w:rsidRPr="00701EFD" w:rsidRDefault="00032322" w:rsidP="00DB6D20">
      <w:pPr>
        <w:jc w:val="both"/>
        <w:rPr>
          <w:rFonts w:cs="Calibri"/>
          <w:sz w:val="22"/>
          <w:lang w:val="en-US"/>
        </w:rPr>
      </w:pPr>
      <w:r w:rsidRPr="00701EFD">
        <w:rPr>
          <w:b/>
          <w:bCs/>
          <w:sz w:val="26"/>
          <w:szCs w:val="26"/>
          <w:lang w:val="en-US"/>
        </w:rPr>
        <w:t>DCAF Partnerships</w:t>
      </w:r>
    </w:p>
    <w:p w14:paraId="520B9D1E" w14:textId="7DC7C437" w:rsidR="00032322" w:rsidRPr="00701EFD" w:rsidRDefault="00813D87" w:rsidP="00B37943">
      <w:pPr>
        <w:spacing w:before="0" w:after="0"/>
        <w:jc w:val="both"/>
        <w:rPr>
          <w:lang w:val="en-US"/>
        </w:rPr>
      </w:pPr>
      <w:r w:rsidRPr="00701EFD">
        <w:rPr>
          <w:lang w:val="en-US"/>
        </w:rPr>
        <w:t xml:space="preserve">DCAF works with a range of oversight actors, including parliaments, the judiciary, independent human rights commissions, </w:t>
      </w:r>
      <w:r w:rsidR="00B37943" w:rsidRPr="00701EFD">
        <w:rPr>
          <w:lang w:val="en-US"/>
        </w:rPr>
        <w:t>Ombud’s</w:t>
      </w:r>
      <w:r w:rsidRPr="00701EFD">
        <w:rPr>
          <w:lang w:val="en-US"/>
        </w:rPr>
        <w:t xml:space="preserve"> institutions, civil </w:t>
      </w:r>
      <w:r w:rsidR="005C51BD" w:rsidRPr="00701EFD">
        <w:rPr>
          <w:lang w:val="en-US"/>
        </w:rPr>
        <w:t>society,</w:t>
      </w:r>
      <w:r w:rsidRPr="00701EFD">
        <w:rPr>
          <w:lang w:val="en-US"/>
        </w:rPr>
        <w:t xml:space="preserve"> and the media</w:t>
      </w:r>
      <w:r w:rsidR="00032322" w:rsidRPr="00701EFD">
        <w:rPr>
          <w:lang w:val="en-US"/>
        </w:rPr>
        <w:t>.</w:t>
      </w:r>
      <w:r w:rsidRPr="00701EFD">
        <w:rPr>
          <w:lang w:val="en-US"/>
        </w:rPr>
        <w:t xml:space="preserve"> </w:t>
      </w:r>
      <w:r w:rsidR="00B577FD" w:rsidRPr="00701EFD">
        <w:rPr>
          <w:lang w:val="en-US"/>
        </w:rPr>
        <w:t xml:space="preserve">Projects are implemented across the five geographic regions in which DCAF is active: Europe and Central Asia, the Middle East and North Africa, Sub-Saharan Africa, Latin America and the Caribbean and Asia Pacific. Of these, a number are taking place in fragile and conflict-affected contexts. Gender is a key focus area for DCAF, and is mainstreamed across many projects, including those involving external oversight. Projects may involve direct support to national reform processes, engagement with the </w:t>
      </w:r>
      <w:r w:rsidR="00B577FD" w:rsidRPr="00701EFD">
        <w:rPr>
          <w:lang w:val="en-US"/>
        </w:rPr>
        <w:lastRenderedPageBreak/>
        <w:t xml:space="preserve">bilateral and multilateral stakeholders supporting these processes, </w:t>
      </w:r>
      <w:r w:rsidR="005C51BD" w:rsidRPr="00701EFD">
        <w:rPr>
          <w:lang w:val="en-US"/>
        </w:rPr>
        <w:t>informing,</w:t>
      </w:r>
      <w:r w:rsidR="00B577FD" w:rsidRPr="00701EFD">
        <w:rPr>
          <w:lang w:val="en-US"/>
        </w:rPr>
        <w:t xml:space="preserve"> and shaping international policy, or a combination of two or more of these approaches. </w:t>
      </w:r>
    </w:p>
    <w:p w14:paraId="27FFD9A1" w14:textId="77777777" w:rsidR="00032322" w:rsidRPr="00701EFD" w:rsidRDefault="00032322" w:rsidP="00B37943">
      <w:pPr>
        <w:spacing w:before="0" w:after="0"/>
        <w:jc w:val="both"/>
        <w:rPr>
          <w:lang w:val="en-US"/>
        </w:rPr>
      </w:pPr>
    </w:p>
    <w:p w14:paraId="1259BD6F" w14:textId="6EC805E1" w:rsidR="00147F90" w:rsidRPr="00701EFD" w:rsidRDefault="00147F90" w:rsidP="00B37943">
      <w:pPr>
        <w:spacing w:before="0" w:after="0"/>
        <w:jc w:val="both"/>
        <w:rPr>
          <w:lang w:val="en-US"/>
        </w:rPr>
      </w:pPr>
      <w:r w:rsidRPr="00701EFD">
        <w:rPr>
          <w:b/>
          <w:bCs/>
          <w:sz w:val="32"/>
          <w:szCs w:val="32"/>
          <w:lang w:val="en-US"/>
        </w:rPr>
        <w:t xml:space="preserve">2. Purpose of the evaluation </w:t>
      </w:r>
      <w:r w:rsidRPr="00701EFD">
        <w:rPr>
          <w:lang w:val="en-US"/>
        </w:rPr>
        <w:t xml:space="preserve"> </w:t>
      </w:r>
    </w:p>
    <w:p w14:paraId="7B75918E" w14:textId="77777777" w:rsidR="00B37943" w:rsidRPr="00701EFD" w:rsidRDefault="00B37943" w:rsidP="00B37943">
      <w:pPr>
        <w:spacing w:before="0" w:after="0"/>
        <w:jc w:val="both"/>
        <w:rPr>
          <w:rFonts w:cs="Calibri"/>
          <w:sz w:val="22"/>
          <w:lang w:val="en-US"/>
        </w:rPr>
      </w:pPr>
    </w:p>
    <w:p w14:paraId="6EEA384B" w14:textId="4778AC44" w:rsidR="00D71C3F" w:rsidRPr="00701EFD" w:rsidRDefault="00D71C3F" w:rsidP="00B37943">
      <w:pPr>
        <w:spacing w:before="0" w:after="0"/>
        <w:jc w:val="both"/>
        <w:rPr>
          <w:lang w:val="en-US"/>
        </w:rPr>
      </w:pPr>
      <w:r w:rsidRPr="00701EFD">
        <w:rPr>
          <w:lang w:val="en-US"/>
        </w:rPr>
        <w:t>Thematic evaluations are strategic</w:t>
      </w:r>
      <w:r w:rsidR="00C4717B" w:rsidRPr="00701EFD">
        <w:rPr>
          <w:lang w:val="en-US"/>
        </w:rPr>
        <w:t>ally important</w:t>
      </w:r>
      <w:r w:rsidRPr="00701EFD">
        <w:rPr>
          <w:lang w:val="en-US"/>
        </w:rPr>
        <w:t xml:space="preserve"> and </w:t>
      </w:r>
      <w:r w:rsidR="00A03AD7" w:rsidRPr="00701EFD">
        <w:rPr>
          <w:lang w:val="en-US"/>
        </w:rPr>
        <w:t>provide</w:t>
      </w:r>
      <w:r w:rsidRPr="00701EFD">
        <w:rPr>
          <w:lang w:val="en-US"/>
        </w:rPr>
        <w:t xml:space="preserve"> opportunity for organizations to assess their performance </w:t>
      </w:r>
      <w:r w:rsidR="00A03AD7" w:rsidRPr="00701EFD">
        <w:rPr>
          <w:lang w:val="en-US"/>
        </w:rPr>
        <w:t>with</w:t>
      </w:r>
      <w:r w:rsidRPr="00701EFD">
        <w:rPr>
          <w:lang w:val="en-US"/>
        </w:rPr>
        <w:t xml:space="preserve">in a specific thematic area. </w:t>
      </w:r>
      <w:r w:rsidR="00616A9E" w:rsidRPr="00701EFD">
        <w:rPr>
          <w:lang w:val="en-US"/>
        </w:rPr>
        <w:t>This thematic evaluation on external oversight of the Security Sector is part of a wider lesson learning process that focuses on DCAF-wide efforts to implement key aspects of its mandate</w:t>
      </w:r>
      <w:r w:rsidR="00553DFD" w:rsidRPr="00701EFD">
        <w:rPr>
          <w:lang w:val="en-US"/>
        </w:rPr>
        <w:t xml:space="preserve">. </w:t>
      </w:r>
    </w:p>
    <w:p w14:paraId="7530B24C" w14:textId="4B3270FE" w:rsidR="00D71C3F" w:rsidRPr="00701EFD" w:rsidRDefault="00553DFD" w:rsidP="00DB6D20">
      <w:pPr>
        <w:jc w:val="both"/>
        <w:rPr>
          <w:lang w:val="en-US"/>
        </w:rPr>
      </w:pPr>
      <w:r w:rsidRPr="00701EFD">
        <w:rPr>
          <w:lang w:val="en-US"/>
        </w:rPr>
        <w:t xml:space="preserve">DCAF </w:t>
      </w:r>
      <w:r w:rsidR="00813D87" w:rsidRPr="00701EFD">
        <w:rPr>
          <w:lang w:val="en-US"/>
        </w:rPr>
        <w:t>is</w:t>
      </w:r>
      <w:r w:rsidRPr="00701EFD">
        <w:rPr>
          <w:lang w:val="en-US"/>
        </w:rPr>
        <w:t xml:space="preserve"> a knowledge organization, not only learning from its operational experience, but also applying its broad thematic knowledge to the operational challenges it faces. </w:t>
      </w:r>
      <w:r w:rsidR="00CE4D15" w:rsidRPr="00701EFD">
        <w:rPr>
          <w:lang w:val="en-US"/>
        </w:rPr>
        <w:t>The purpose of the thematic evaluation is to support corporate learning</w:t>
      </w:r>
      <w:r w:rsidR="00D63BBF" w:rsidRPr="00701EFD">
        <w:rPr>
          <w:lang w:val="en-US"/>
        </w:rPr>
        <w:t xml:space="preserve"> and</w:t>
      </w:r>
      <w:r w:rsidR="00D71C3F" w:rsidRPr="00701EFD">
        <w:rPr>
          <w:lang w:val="en-US"/>
        </w:rPr>
        <w:t xml:space="preserve">, at the same time, </w:t>
      </w:r>
      <w:r w:rsidR="00CE4D15" w:rsidRPr="00701EFD">
        <w:rPr>
          <w:lang w:val="en-US"/>
        </w:rPr>
        <w:t xml:space="preserve">to strengthen DCAF’s accountability to partners and donors, including </w:t>
      </w:r>
      <w:r w:rsidR="00D63BBF" w:rsidRPr="00701EFD">
        <w:rPr>
          <w:lang w:val="en-US"/>
        </w:rPr>
        <w:t>its</w:t>
      </w:r>
      <w:r w:rsidR="00CE4D15" w:rsidRPr="00701EFD">
        <w:rPr>
          <w:lang w:val="en-US"/>
        </w:rPr>
        <w:t xml:space="preserve"> Foundation Council. </w:t>
      </w:r>
    </w:p>
    <w:p w14:paraId="70F3FB2E" w14:textId="43E2A55B" w:rsidR="00616A9E" w:rsidRPr="00701EFD" w:rsidRDefault="00CE4D15" w:rsidP="00B37943">
      <w:pPr>
        <w:spacing w:before="0" w:after="0"/>
        <w:jc w:val="both"/>
        <w:rPr>
          <w:lang w:val="en-US"/>
        </w:rPr>
      </w:pPr>
      <w:r w:rsidRPr="00701EFD">
        <w:rPr>
          <w:lang w:val="en-US"/>
        </w:rPr>
        <w:t xml:space="preserve">By carrying out this evaluation, DCAF provides timely knowledge and lessons from experience that can feed into programming at all levels. </w:t>
      </w:r>
      <w:r w:rsidR="00616A9E" w:rsidRPr="00701EFD">
        <w:rPr>
          <w:lang w:val="en-US"/>
        </w:rPr>
        <w:t>By sharing findings and recommendations the evaluation report also presents a general learning output for the wider SSG/R community.</w:t>
      </w:r>
    </w:p>
    <w:p w14:paraId="68EE6C8C" w14:textId="77777777" w:rsidR="00B37943" w:rsidRPr="00701EFD" w:rsidRDefault="00B37943" w:rsidP="00B37943">
      <w:pPr>
        <w:spacing w:before="0" w:after="0"/>
        <w:jc w:val="both"/>
        <w:rPr>
          <w:rFonts w:cs="Calibri"/>
          <w:sz w:val="22"/>
          <w:lang w:val="en-US"/>
        </w:rPr>
      </w:pPr>
    </w:p>
    <w:p w14:paraId="7BD2326D" w14:textId="49E56D71" w:rsidR="00B37943" w:rsidRPr="00701EFD" w:rsidRDefault="00147F90" w:rsidP="00B37943">
      <w:pPr>
        <w:spacing w:before="0" w:after="0"/>
        <w:jc w:val="both"/>
        <w:rPr>
          <w:b/>
          <w:bCs/>
          <w:sz w:val="32"/>
          <w:szCs w:val="32"/>
          <w:lang w:val="en-US"/>
        </w:rPr>
      </w:pPr>
      <w:r w:rsidRPr="00701EFD">
        <w:rPr>
          <w:b/>
          <w:bCs/>
          <w:sz w:val="32"/>
          <w:szCs w:val="32"/>
          <w:lang w:val="en-US"/>
        </w:rPr>
        <w:t>3. Evaluation criteria and questions</w:t>
      </w:r>
    </w:p>
    <w:p w14:paraId="01BBC186" w14:textId="77777777" w:rsidR="00B37943" w:rsidRPr="00701EFD" w:rsidRDefault="00B37943" w:rsidP="00B37943">
      <w:pPr>
        <w:spacing w:before="0" w:after="0"/>
        <w:jc w:val="both"/>
        <w:rPr>
          <w:rFonts w:cs="Calibri"/>
          <w:sz w:val="22"/>
          <w:lang w:val="en-US"/>
        </w:rPr>
      </w:pPr>
    </w:p>
    <w:p w14:paraId="63C631C8" w14:textId="0020B491" w:rsidR="001F5405" w:rsidRPr="00701EFD" w:rsidRDefault="003D62DA" w:rsidP="00B37943">
      <w:pPr>
        <w:spacing w:before="0" w:after="0"/>
        <w:jc w:val="both"/>
        <w:rPr>
          <w:lang w:val="en-US"/>
        </w:rPr>
      </w:pPr>
      <w:r w:rsidRPr="00701EFD">
        <w:rPr>
          <w:lang w:val="en-US"/>
        </w:rPr>
        <w:t>T</w:t>
      </w:r>
      <w:r w:rsidR="001F5405" w:rsidRPr="00701EFD">
        <w:rPr>
          <w:lang w:val="en-US"/>
        </w:rPr>
        <w:t>hematic evaluations</w:t>
      </w:r>
      <w:r w:rsidRPr="00701EFD">
        <w:rPr>
          <w:lang w:val="en-US"/>
        </w:rPr>
        <w:t xml:space="preserve"> </w:t>
      </w:r>
      <w:r w:rsidR="00470900" w:rsidRPr="00701EFD">
        <w:rPr>
          <w:lang w:val="en-US"/>
        </w:rPr>
        <w:t>are</w:t>
      </w:r>
      <w:r w:rsidR="00D63BBF" w:rsidRPr="00701EFD">
        <w:rPr>
          <w:lang w:val="en-US"/>
        </w:rPr>
        <w:t xml:space="preserve"> </w:t>
      </w:r>
      <w:r w:rsidR="00470900" w:rsidRPr="00701EFD">
        <w:rPr>
          <w:lang w:val="en-US"/>
        </w:rPr>
        <w:t>usually not</w:t>
      </w:r>
      <w:r w:rsidR="00D63BBF" w:rsidRPr="00701EFD">
        <w:rPr>
          <w:lang w:val="en-US"/>
        </w:rPr>
        <w:t xml:space="preserve"> based on a common results framework</w:t>
      </w:r>
      <w:r w:rsidR="00470900" w:rsidRPr="00701EFD">
        <w:rPr>
          <w:lang w:val="en-US"/>
        </w:rPr>
        <w:t xml:space="preserve"> and do not assess projects in detail and individually. Thematic evaluations are exploratory, and attention needs to be paid to keep their scope realistic.</w:t>
      </w:r>
      <w:r w:rsidR="001F5405" w:rsidRPr="00701EFD">
        <w:rPr>
          <w:lang w:val="en-US"/>
        </w:rPr>
        <w:t xml:space="preserve"> </w:t>
      </w:r>
      <w:r w:rsidR="00470900" w:rsidRPr="00701EFD">
        <w:rPr>
          <w:lang w:val="en-US"/>
        </w:rPr>
        <w:t xml:space="preserve">It is </w:t>
      </w:r>
      <w:r w:rsidR="00672F7E" w:rsidRPr="00701EFD">
        <w:rPr>
          <w:lang w:val="en-US"/>
        </w:rPr>
        <w:t xml:space="preserve">thus </w:t>
      </w:r>
      <w:r w:rsidR="00470900" w:rsidRPr="00701EFD">
        <w:rPr>
          <w:lang w:val="en-US"/>
        </w:rPr>
        <w:t>neither</w:t>
      </w:r>
      <w:r w:rsidR="001F5405" w:rsidRPr="00701EFD">
        <w:rPr>
          <w:lang w:val="en-US"/>
        </w:rPr>
        <w:t xml:space="preserve"> necessary </w:t>
      </w:r>
      <w:r w:rsidR="00470900" w:rsidRPr="00701EFD">
        <w:rPr>
          <w:lang w:val="en-US"/>
        </w:rPr>
        <w:t xml:space="preserve">nor recommendable </w:t>
      </w:r>
      <w:r w:rsidR="001F5405" w:rsidRPr="00701EFD">
        <w:rPr>
          <w:lang w:val="en-US"/>
        </w:rPr>
        <w:t xml:space="preserve">to use the complete standard set of OECD DAC evaluation criteria. </w:t>
      </w:r>
      <w:r w:rsidR="00CE4D15" w:rsidRPr="00701EFD">
        <w:rPr>
          <w:lang w:val="en-US"/>
        </w:rPr>
        <w:t xml:space="preserve">The evaluation questions </w:t>
      </w:r>
      <w:r w:rsidR="001F5405" w:rsidRPr="00701EFD">
        <w:rPr>
          <w:lang w:val="en-US"/>
        </w:rPr>
        <w:t xml:space="preserve">for this thematic evaluation </w:t>
      </w:r>
      <w:r w:rsidR="00D63BBF" w:rsidRPr="00701EFD">
        <w:rPr>
          <w:lang w:val="en-US"/>
        </w:rPr>
        <w:t xml:space="preserve">therefore </w:t>
      </w:r>
      <w:r w:rsidR="00CE4D15" w:rsidRPr="00701EFD">
        <w:rPr>
          <w:lang w:val="en-US"/>
        </w:rPr>
        <w:t xml:space="preserve">cover the central dimensions of effectiveness, coherence, sustainability, and impact and were identified through demand analysis and stakeholder consultations. </w:t>
      </w:r>
    </w:p>
    <w:p w14:paraId="1003512C" w14:textId="39D82A35" w:rsidR="00147F90" w:rsidRPr="00701EFD" w:rsidRDefault="001F5405" w:rsidP="00DB6D20">
      <w:pPr>
        <w:jc w:val="both"/>
        <w:rPr>
          <w:lang w:val="en-US"/>
        </w:rPr>
      </w:pPr>
      <w:r w:rsidRPr="00701EFD">
        <w:rPr>
          <w:lang w:val="en-US"/>
        </w:rPr>
        <w:t>T</w:t>
      </w:r>
      <w:r w:rsidR="00147F90" w:rsidRPr="00701EFD">
        <w:rPr>
          <w:lang w:val="en-US"/>
        </w:rPr>
        <w:t>he evaluation must be guided by the following questions, grouped per evaluation criteria:</w:t>
      </w:r>
    </w:p>
    <w:p w14:paraId="7EC663FF" w14:textId="4AEE60A9" w:rsidR="00147F90" w:rsidRPr="00701EFD" w:rsidRDefault="00147F90" w:rsidP="00DB6D20">
      <w:pPr>
        <w:jc w:val="both"/>
        <w:rPr>
          <w:rFonts w:cs="Calibri"/>
          <w:b/>
          <w:bCs/>
          <w:sz w:val="26"/>
          <w:szCs w:val="26"/>
        </w:rPr>
      </w:pPr>
      <w:r w:rsidRPr="00701EFD">
        <w:rPr>
          <w:rFonts w:cs="Calibri"/>
          <w:b/>
          <w:bCs/>
          <w:sz w:val="26"/>
          <w:szCs w:val="26"/>
        </w:rPr>
        <w:t xml:space="preserve">1. </w:t>
      </w:r>
      <w:proofErr w:type="spellStart"/>
      <w:r w:rsidRPr="00701EFD">
        <w:rPr>
          <w:rFonts w:cs="Calibri"/>
          <w:b/>
          <w:bCs/>
          <w:sz w:val="26"/>
          <w:szCs w:val="26"/>
        </w:rPr>
        <w:t>Effectiveness</w:t>
      </w:r>
      <w:proofErr w:type="spellEnd"/>
    </w:p>
    <w:p w14:paraId="30643A8D" w14:textId="7FECF709" w:rsidR="00B2098E" w:rsidRPr="00701EFD" w:rsidRDefault="00147F90" w:rsidP="00B2098E">
      <w:pPr>
        <w:pStyle w:val="ListParagraph"/>
        <w:numPr>
          <w:ilvl w:val="0"/>
          <w:numId w:val="1"/>
        </w:numPr>
        <w:spacing w:before="0" w:after="0"/>
        <w:jc w:val="both"/>
        <w:rPr>
          <w:lang w:val="en-US"/>
        </w:rPr>
      </w:pPr>
      <w:r w:rsidRPr="00701EFD">
        <w:rPr>
          <w:b/>
          <w:bCs/>
          <w:lang w:val="en-US"/>
        </w:rPr>
        <w:t>Question 1:</w:t>
      </w:r>
      <w:r w:rsidRPr="00701EFD">
        <w:rPr>
          <w:lang w:val="en-US"/>
        </w:rPr>
        <w:t xml:space="preserve">  In what ways has DCAF been successful in strengthening external oversight through its </w:t>
      </w:r>
      <w:r w:rsidR="00E915B6" w:rsidRPr="00701EFD">
        <w:rPr>
          <w:lang w:val="en-US"/>
        </w:rPr>
        <w:t>interventions</w:t>
      </w:r>
      <w:r w:rsidRPr="00701EFD">
        <w:rPr>
          <w:lang w:val="en-US"/>
        </w:rPr>
        <w:t>?</w:t>
      </w:r>
      <w:r w:rsidR="00540B36" w:rsidRPr="00701EFD">
        <w:rPr>
          <w:lang w:val="en-US"/>
        </w:rPr>
        <w:t xml:space="preserve"> </w:t>
      </w:r>
      <w:r w:rsidR="00B2098E" w:rsidRPr="00701EFD">
        <w:rPr>
          <w:lang w:val="en-US"/>
        </w:rPr>
        <w:t xml:space="preserve">Are there any unintended outcomes (both positive and negative) and what are their implications? </w:t>
      </w:r>
    </w:p>
    <w:p w14:paraId="2108C49B" w14:textId="5F498137" w:rsidR="00B2098E" w:rsidRPr="00701EFD" w:rsidRDefault="00B2098E" w:rsidP="00B2098E">
      <w:pPr>
        <w:pStyle w:val="ListParagraph"/>
        <w:numPr>
          <w:ilvl w:val="0"/>
          <w:numId w:val="1"/>
        </w:numPr>
        <w:spacing w:before="0" w:after="0"/>
        <w:jc w:val="both"/>
        <w:rPr>
          <w:lang w:val="en-US"/>
        </w:rPr>
      </w:pPr>
      <w:r w:rsidRPr="00701EFD">
        <w:rPr>
          <w:b/>
          <w:bCs/>
          <w:lang w:val="en-US"/>
        </w:rPr>
        <w:t>Question 1.1:</w:t>
      </w:r>
      <w:r w:rsidRPr="00701EFD">
        <w:rPr>
          <w:lang w:val="en-US"/>
        </w:rPr>
        <w:t xml:space="preserve">  Have the underlying key assumptions relevant to the achievement of improved oversight been explicitly articulated, and tested prior to, during and after implementation? </w:t>
      </w:r>
    </w:p>
    <w:p w14:paraId="78DF1896" w14:textId="6B3893A9" w:rsidR="005C51BD" w:rsidRPr="00701EFD" w:rsidRDefault="00147F90" w:rsidP="005C51BD">
      <w:pPr>
        <w:pStyle w:val="ListParagraph"/>
        <w:numPr>
          <w:ilvl w:val="0"/>
          <w:numId w:val="1"/>
        </w:numPr>
        <w:spacing w:before="0" w:after="0"/>
        <w:jc w:val="both"/>
        <w:rPr>
          <w:lang w:val="en-US"/>
        </w:rPr>
      </w:pPr>
      <w:r w:rsidRPr="00701EFD">
        <w:rPr>
          <w:b/>
          <w:bCs/>
          <w:lang w:val="en-US"/>
        </w:rPr>
        <w:t>Question 1.</w:t>
      </w:r>
      <w:r w:rsidR="00B2098E" w:rsidRPr="00701EFD">
        <w:rPr>
          <w:b/>
          <w:bCs/>
          <w:lang w:val="en-US"/>
        </w:rPr>
        <w:t>2</w:t>
      </w:r>
      <w:r w:rsidRPr="00701EFD">
        <w:rPr>
          <w:lang w:val="en-US"/>
        </w:rPr>
        <w:t xml:space="preserve">:  </w:t>
      </w:r>
      <w:r w:rsidR="00A22F2F" w:rsidRPr="00701EFD">
        <w:rPr>
          <w:lang w:val="en-US"/>
        </w:rPr>
        <w:t xml:space="preserve">Which </w:t>
      </w:r>
      <w:r w:rsidRPr="00701EFD">
        <w:rPr>
          <w:lang w:val="en-US"/>
        </w:rPr>
        <w:t>project approaches/</w:t>
      </w:r>
      <w:r w:rsidR="00077999" w:rsidRPr="00701EFD">
        <w:rPr>
          <w:lang w:val="en-US"/>
        </w:rPr>
        <w:t xml:space="preserve"> </w:t>
      </w:r>
      <w:r w:rsidRPr="00701EFD">
        <w:rPr>
          <w:lang w:val="en-US"/>
        </w:rPr>
        <w:t xml:space="preserve">pathways </w:t>
      </w:r>
      <w:r w:rsidR="00A22F2F" w:rsidRPr="00701EFD">
        <w:rPr>
          <w:lang w:val="en-US"/>
        </w:rPr>
        <w:t xml:space="preserve">have </w:t>
      </w:r>
      <w:r w:rsidRPr="00701EFD">
        <w:rPr>
          <w:lang w:val="en-US"/>
        </w:rPr>
        <w:t>been more successful than others in encouraging and facilitating reforms?</w:t>
      </w:r>
      <w:r w:rsidR="00540B36" w:rsidRPr="00701EFD">
        <w:rPr>
          <w:lang w:val="en-US"/>
        </w:rPr>
        <w:t xml:space="preserve"> And </w:t>
      </w:r>
      <w:r w:rsidR="00A22F2F" w:rsidRPr="00701EFD">
        <w:rPr>
          <w:lang w:val="en-US"/>
        </w:rPr>
        <w:t>why?</w:t>
      </w:r>
      <w:r w:rsidR="005C51BD" w:rsidRPr="00701EFD">
        <w:rPr>
          <w:lang w:val="en-US"/>
        </w:rPr>
        <w:t xml:space="preserve"> </w:t>
      </w:r>
    </w:p>
    <w:p w14:paraId="18E03007" w14:textId="12F63803" w:rsidR="00147F90" w:rsidRPr="00701EFD" w:rsidRDefault="00147F90" w:rsidP="00DB6D20">
      <w:pPr>
        <w:pStyle w:val="ListParagraph"/>
        <w:numPr>
          <w:ilvl w:val="0"/>
          <w:numId w:val="1"/>
        </w:numPr>
        <w:spacing w:before="0" w:after="0"/>
        <w:jc w:val="both"/>
        <w:rPr>
          <w:lang w:val="en-US"/>
        </w:rPr>
      </w:pPr>
      <w:r w:rsidRPr="00701EFD">
        <w:rPr>
          <w:b/>
          <w:bCs/>
          <w:lang w:val="en-US"/>
        </w:rPr>
        <w:t>Question 1.</w:t>
      </w:r>
      <w:r w:rsidR="00B2098E" w:rsidRPr="00701EFD">
        <w:rPr>
          <w:b/>
          <w:bCs/>
          <w:lang w:val="en-US"/>
        </w:rPr>
        <w:t>3</w:t>
      </w:r>
      <w:r w:rsidRPr="00701EFD">
        <w:rPr>
          <w:b/>
          <w:bCs/>
          <w:lang w:val="en-US"/>
        </w:rPr>
        <w:t>:</w:t>
      </w:r>
      <w:r w:rsidRPr="00701EFD">
        <w:rPr>
          <w:lang w:val="en-US"/>
        </w:rPr>
        <w:t xml:space="preserve"> </w:t>
      </w:r>
      <w:r w:rsidR="00540B36" w:rsidRPr="00701EFD">
        <w:rPr>
          <w:lang w:val="en-US"/>
        </w:rPr>
        <w:t xml:space="preserve">To what extent have </w:t>
      </w:r>
      <w:r w:rsidRPr="00701EFD">
        <w:rPr>
          <w:lang w:val="en-US"/>
        </w:rPr>
        <w:t>approaches which involved working with multiple oversight actors resulted in different outcomes than those with single stakeholders?</w:t>
      </w:r>
    </w:p>
    <w:p w14:paraId="7CCB78BF" w14:textId="67C2A77E" w:rsidR="00147F90" w:rsidRPr="00701EFD" w:rsidRDefault="00147F90" w:rsidP="00DB6D20">
      <w:pPr>
        <w:pStyle w:val="ListParagraph"/>
        <w:numPr>
          <w:ilvl w:val="0"/>
          <w:numId w:val="1"/>
        </w:numPr>
        <w:spacing w:before="0" w:after="0"/>
        <w:jc w:val="both"/>
        <w:rPr>
          <w:lang w:val="en-US"/>
        </w:rPr>
      </w:pPr>
      <w:r w:rsidRPr="00701EFD">
        <w:rPr>
          <w:b/>
          <w:bCs/>
          <w:lang w:val="en-US"/>
        </w:rPr>
        <w:lastRenderedPageBreak/>
        <w:t>Question 1.</w:t>
      </w:r>
      <w:r w:rsidR="00B2098E" w:rsidRPr="00701EFD">
        <w:rPr>
          <w:b/>
          <w:bCs/>
          <w:lang w:val="en-US"/>
        </w:rPr>
        <w:t>4</w:t>
      </w:r>
      <w:r w:rsidRPr="00701EFD">
        <w:rPr>
          <w:lang w:val="en-US"/>
        </w:rPr>
        <w:t>:</w:t>
      </w:r>
      <w:r w:rsidR="00856A4E" w:rsidRPr="00701EFD">
        <w:rPr>
          <w:lang w:val="en-US"/>
        </w:rPr>
        <w:t xml:space="preserve"> Which approaches have proved to be more effective / less effective in fragile and conflict affected contexts?</w:t>
      </w:r>
      <w:r w:rsidRPr="00701EFD">
        <w:rPr>
          <w:lang w:val="en-US"/>
        </w:rPr>
        <w:t xml:space="preserve"> </w:t>
      </w:r>
    </w:p>
    <w:p w14:paraId="317A3B95" w14:textId="7519BDD6" w:rsidR="00E915B6" w:rsidRPr="00701EFD" w:rsidRDefault="00147F90" w:rsidP="00E915B6">
      <w:pPr>
        <w:pStyle w:val="ListParagraph"/>
        <w:numPr>
          <w:ilvl w:val="0"/>
          <w:numId w:val="1"/>
        </w:numPr>
        <w:spacing w:before="0"/>
        <w:jc w:val="both"/>
        <w:rPr>
          <w:lang w:val="en-US"/>
        </w:rPr>
      </w:pPr>
      <w:r w:rsidRPr="00701EFD">
        <w:rPr>
          <w:b/>
          <w:bCs/>
          <w:lang w:val="en-US"/>
        </w:rPr>
        <w:t>Question 1.</w:t>
      </w:r>
      <w:r w:rsidR="00B2098E" w:rsidRPr="00701EFD">
        <w:rPr>
          <w:b/>
          <w:bCs/>
          <w:lang w:val="en-US"/>
        </w:rPr>
        <w:t>5</w:t>
      </w:r>
      <w:r w:rsidRPr="00701EFD">
        <w:rPr>
          <w:b/>
          <w:bCs/>
          <w:lang w:val="en-US"/>
        </w:rPr>
        <w:t>:</w:t>
      </w:r>
      <w:r w:rsidR="005C51BD" w:rsidRPr="00701EFD">
        <w:rPr>
          <w:lang w:val="en-US"/>
        </w:rPr>
        <w:t xml:space="preserve"> </w:t>
      </w:r>
      <w:r w:rsidR="00E915B6" w:rsidRPr="00701EFD">
        <w:rPr>
          <w:lang w:val="en-US"/>
        </w:rPr>
        <w:t>Has DCAF's work on improving oversight contributed to the protection of human rights, including gender equality and women's empowerment? If so, how? And if not, what gaps exist in DCAF's approach?</w:t>
      </w:r>
    </w:p>
    <w:p w14:paraId="23B03D8F" w14:textId="2013E4D1" w:rsidR="00540B36" w:rsidRPr="00701EFD" w:rsidRDefault="00540B36" w:rsidP="007940A7">
      <w:pPr>
        <w:pStyle w:val="ListParagraph"/>
        <w:numPr>
          <w:ilvl w:val="0"/>
          <w:numId w:val="1"/>
        </w:numPr>
        <w:spacing w:before="0" w:after="0"/>
        <w:jc w:val="both"/>
        <w:rPr>
          <w:lang w:val="en-US"/>
        </w:rPr>
      </w:pPr>
      <w:r w:rsidRPr="00701EFD">
        <w:rPr>
          <w:b/>
          <w:bCs/>
          <w:lang w:val="en-US"/>
        </w:rPr>
        <w:t>Question 1.</w:t>
      </w:r>
      <w:r w:rsidR="00B2098E" w:rsidRPr="00701EFD">
        <w:rPr>
          <w:b/>
          <w:bCs/>
          <w:lang w:val="en-US"/>
        </w:rPr>
        <w:t>6</w:t>
      </w:r>
      <w:r w:rsidRPr="00701EFD">
        <w:rPr>
          <w:b/>
          <w:bCs/>
          <w:lang w:val="en-US"/>
        </w:rPr>
        <w:t>:</w:t>
      </w:r>
      <w:r w:rsidRPr="00701EFD">
        <w:rPr>
          <w:lang w:val="en-US"/>
        </w:rPr>
        <w:t xml:space="preserve"> What lessons can be drawn from projects which have included regional exchange and dialogue? </w:t>
      </w:r>
    </w:p>
    <w:p w14:paraId="0FA7E260" w14:textId="1C82BD46" w:rsidR="00147F90" w:rsidRPr="00701EFD" w:rsidRDefault="00147F90" w:rsidP="00DB6D20">
      <w:pPr>
        <w:spacing w:before="0" w:after="0"/>
        <w:jc w:val="both"/>
        <w:rPr>
          <w:rFonts w:cs="Calibri"/>
          <w:lang w:val="en-US"/>
        </w:rPr>
      </w:pPr>
    </w:p>
    <w:p w14:paraId="36A42AF5" w14:textId="77777777" w:rsidR="00147F90" w:rsidRPr="00701EFD" w:rsidRDefault="00147F90" w:rsidP="00DB6D20">
      <w:pPr>
        <w:spacing w:before="0" w:after="0"/>
        <w:jc w:val="both"/>
        <w:rPr>
          <w:rFonts w:cs="Calibri"/>
          <w:b/>
          <w:bCs/>
          <w:sz w:val="26"/>
          <w:szCs w:val="26"/>
        </w:rPr>
      </w:pPr>
      <w:r w:rsidRPr="00701EFD">
        <w:rPr>
          <w:rFonts w:cs="Calibri"/>
          <w:b/>
          <w:bCs/>
          <w:sz w:val="26"/>
          <w:szCs w:val="26"/>
        </w:rPr>
        <w:t xml:space="preserve">2. </w:t>
      </w:r>
      <w:proofErr w:type="spellStart"/>
      <w:r w:rsidRPr="00701EFD">
        <w:rPr>
          <w:rFonts w:cs="Calibri"/>
          <w:b/>
          <w:bCs/>
          <w:sz w:val="26"/>
          <w:szCs w:val="26"/>
        </w:rPr>
        <w:t>Coherence</w:t>
      </w:r>
      <w:proofErr w:type="spellEnd"/>
      <w:r w:rsidRPr="00701EFD">
        <w:rPr>
          <w:rFonts w:cs="Calibri"/>
          <w:b/>
          <w:bCs/>
          <w:sz w:val="26"/>
          <w:szCs w:val="26"/>
        </w:rPr>
        <w:t xml:space="preserve"> </w:t>
      </w:r>
    </w:p>
    <w:p w14:paraId="5310C7AE" w14:textId="77777777" w:rsidR="00147F90" w:rsidRPr="00701EFD" w:rsidRDefault="00147F90" w:rsidP="00DB6D20">
      <w:pPr>
        <w:spacing w:before="0" w:after="0"/>
        <w:jc w:val="both"/>
        <w:rPr>
          <w:rFonts w:cs="Calibri"/>
          <w:lang w:val="en-US"/>
        </w:rPr>
      </w:pPr>
    </w:p>
    <w:p w14:paraId="698907BF" w14:textId="77777777" w:rsidR="00E915B6" w:rsidRPr="00701EFD" w:rsidRDefault="00E915B6" w:rsidP="00E915B6">
      <w:pPr>
        <w:pStyle w:val="ListParagraph"/>
        <w:numPr>
          <w:ilvl w:val="0"/>
          <w:numId w:val="1"/>
        </w:numPr>
        <w:spacing w:before="0" w:after="0"/>
        <w:jc w:val="both"/>
        <w:rPr>
          <w:lang w:val="en-US"/>
        </w:rPr>
      </w:pPr>
      <w:r w:rsidRPr="00701EFD">
        <w:rPr>
          <w:b/>
          <w:bCs/>
          <w:lang w:val="en-US"/>
        </w:rPr>
        <w:t>Question 2</w:t>
      </w:r>
      <w:r w:rsidRPr="00701EFD">
        <w:rPr>
          <w:lang w:val="en-US"/>
        </w:rPr>
        <w:t xml:space="preserve">: How have DCAF projects contributed to and strengthened international and multilateral approaches to reform of external oversight? </w:t>
      </w:r>
    </w:p>
    <w:p w14:paraId="48FB24E5" w14:textId="77777777" w:rsidR="00E915B6" w:rsidRPr="00701EFD" w:rsidRDefault="00E915B6" w:rsidP="00E915B6">
      <w:pPr>
        <w:pStyle w:val="ListParagraph"/>
        <w:numPr>
          <w:ilvl w:val="0"/>
          <w:numId w:val="1"/>
        </w:numPr>
        <w:spacing w:before="0" w:after="0"/>
        <w:jc w:val="both"/>
        <w:rPr>
          <w:lang w:val="en-US"/>
        </w:rPr>
      </w:pPr>
      <w:r w:rsidRPr="00701EFD">
        <w:rPr>
          <w:b/>
          <w:bCs/>
          <w:lang w:val="en-US"/>
        </w:rPr>
        <w:t>Question 2.1</w:t>
      </w:r>
      <w:r w:rsidRPr="00701EFD">
        <w:rPr>
          <w:lang w:val="en-US"/>
        </w:rPr>
        <w:t>: How effective has DCAF been in coordinating and partnering with other actors in security sector reform?</w:t>
      </w:r>
    </w:p>
    <w:p w14:paraId="65C33E5B" w14:textId="77777777" w:rsidR="00E915B6" w:rsidRPr="00701EFD" w:rsidRDefault="00E915B6" w:rsidP="00E915B6">
      <w:pPr>
        <w:pStyle w:val="ListParagraph"/>
        <w:numPr>
          <w:ilvl w:val="0"/>
          <w:numId w:val="1"/>
        </w:numPr>
        <w:spacing w:before="0" w:after="0"/>
        <w:jc w:val="both"/>
        <w:rPr>
          <w:lang w:val="en-US"/>
        </w:rPr>
      </w:pPr>
      <w:r w:rsidRPr="00701EFD">
        <w:rPr>
          <w:lang w:val="en-US"/>
        </w:rPr>
        <w:t xml:space="preserve"> </w:t>
      </w:r>
      <w:r w:rsidRPr="00701EFD">
        <w:rPr>
          <w:b/>
          <w:bCs/>
          <w:lang w:val="en-US"/>
        </w:rPr>
        <w:t>Question 2.2</w:t>
      </w:r>
      <w:r w:rsidRPr="00701EFD">
        <w:rPr>
          <w:lang w:val="en-US"/>
        </w:rPr>
        <w:t>: How has DCAF used its diverse organizational expertise and comparative advantages to achieve better outcomes?</w:t>
      </w:r>
    </w:p>
    <w:p w14:paraId="1BFC508D" w14:textId="77777777" w:rsidR="00147F90" w:rsidRPr="00701EFD" w:rsidRDefault="00147F90" w:rsidP="00DB6D20">
      <w:pPr>
        <w:spacing w:before="0" w:after="0"/>
        <w:jc w:val="both"/>
        <w:rPr>
          <w:rFonts w:cs="Calibri"/>
          <w:lang w:val="en-US"/>
        </w:rPr>
      </w:pPr>
    </w:p>
    <w:p w14:paraId="39AAE0BA" w14:textId="77777777" w:rsidR="00147F90" w:rsidRPr="00701EFD" w:rsidRDefault="00147F90" w:rsidP="00DB6D20">
      <w:pPr>
        <w:spacing w:before="0" w:after="0"/>
        <w:jc w:val="both"/>
        <w:rPr>
          <w:rFonts w:cs="Calibri"/>
          <w:b/>
          <w:bCs/>
          <w:sz w:val="26"/>
          <w:szCs w:val="26"/>
        </w:rPr>
      </w:pPr>
      <w:r w:rsidRPr="00701EFD">
        <w:rPr>
          <w:rFonts w:cs="Calibri"/>
          <w:b/>
          <w:bCs/>
          <w:sz w:val="26"/>
          <w:szCs w:val="26"/>
        </w:rPr>
        <w:t xml:space="preserve">3. </w:t>
      </w:r>
      <w:proofErr w:type="spellStart"/>
      <w:r w:rsidRPr="00701EFD">
        <w:rPr>
          <w:rFonts w:cs="Calibri"/>
          <w:b/>
          <w:bCs/>
          <w:sz w:val="26"/>
          <w:szCs w:val="26"/>
        </w:rPr>
        <w:t>Sustainability</w:t>
      </w:r>
      <w:proofErr w:type="spellEnd"/>
    </w:p>
    <w:p w14:paraId="280348AE" w14:textId="0A10C099" w:rsidR="00147F90" w:rsidRPr="00701EFD" w:rsidRDefault="00147F90" w:rsidP="00283A46">
      <w:pPr>
        <w:pStyle w:val="ListParagraph"/>
        <w:numPr>
          <w:ilvl w:val="0"/>
          <w:numId w:val="1"/>
        </w:numPr>
        <w:spacing w:before="0" w:after="0"/>
        <w:jc w:val="both"/>
        <w:rPr>
          <w:lang w:val="en-US"/>
        </w:rPr>
      </w:pPr>
      <w:r w:rsidRPr="00701EFD">
        <w:rPr>
          <w:b/>
          <w:bCs/>
          <w:lang w:val="en-US"/>
        </w:rPr>
        <w:t>Question 3:</w:t>
      </w:r>
      <w:r w:rsidRPr="00701EFD">
        <w:rPr>
          <w:lang w:val="en-US"/>
        </w:rPr>
        <w:t xml:space="preserve"> Are there indications that successful DCAF interventions with external oversight actors are being sustained?  </w:t>
      </w:r>
      <w:r w:rsidR="00283A46" w:rsidRPr="00701EFD">
        <w:rPr>
          <w:lang w:val="en-US"/>
        </w:rPr>
        <w:t>If so, which factors have been most influential?</w:t>
      </w:r>
    </w:p>
    <w:p w14:paraId="077B0DB8" w14:textId="12046754" w:rsidR="00147F90" w:rsidRPr="00701EFD" w:rsidRDefault="00147F90" w:rsidP="00DB6D20">
      <w:pPr>
        <w:pStyle w:val="ListParagraph"/>
        <w:numPr>
          <w:ilvl w:val="0"/>
          <w:numId w:val="1"/>
        </w:numPr>
        <w:spacing w:before="0" w:after="0"/>
        <w:jc w:val="both"/>
        <w:rPr>
          <w:lang w:val="en-US"/>
        </w:rPr>
      </w:pPr>
      <w:r w:rsidRPr="00701EFD">
        <w:rPr>
          <w:b/>
          <w:bCs/>
          <w:lang w:val="en-US"/>
        </w:rPr>
        <w:t>Question 3.1</w:t>
      </w:r>
      <w:r w:rsidRPr="00701EFD">
        <w:rPr>
          <w:lang w:val="en-US"/>
        </w:rPr>
        <w:t xml:space="preserve">: What opportunities exist to improve sustainability through a focus on local ownership and engagement with political actors/dynamics? </w:t>
      </w:r>
    </w:p>
    <w:p w14:paraId="16C9F2E2" w14:textId="77777777" w:rsidR="00147F90" w:rsidRPr="00701EFD" w:rsidRDefault="00147F90" w:rsidP="00DB6D20">
      <w:pPr>
        <w:spacing w:before="0" w:after="0"/>
        <w:jc w:val="both"/>
        <w:rPr>
          <w:rFonts w:cs="Calibri"/>
          <w:lang w:val="en-US"/>
        </w:rPr>
      </w:pPr>
    </w:p>
    <w:p w14:paraId="5C7793ED" w14:textId="77777777" w:rsidR="00147F90" w:rsidRPr="00701EFD" w:rsidRDefault="00147F90" w:rsidP="00DB6D20">
      <w:pPr>
        <w:spacing w:before="0" w:after="0"/>
        <w:jc w:val="both"/>
        <w:rPr>
          <w:rFonts w:cs="Calibri"/>
          <w:b/>
          <w:bCs/>
          <w:sz w:val="26"/>
          <w:szCs w:val="26"/>
        </w:rPr>
      </w:pPr>
      <w:r w:rsidRPr="00701EFD">
        <w:rPr>
          <w:rFonts w:cs="Calibri"/>
          <w:b/>
          <w:bCs/>
          <w:sz w:val="26"/>
          <w:szCs w:val="26"/>
        </w:rPr>
        <w:t>4. Impact</w:t>
      </w:r>
    </w:p>
    <w:p w14:paraId="7272E467" w14:textId="77777777" w:rsidR="00147F90" w:rsidRPr="00701EFD" w:rsidRDefault="00147F90" w:rsidP="00DB6D20">
      <w:pPr>
        <w:spacing w:before="0" w:after="0"/>
        <w:jc w:val="both"/>
        <w:rPr>
          <w:lang w:val="en-US"/>
        </w:rPr>
      </w:pPr>
    </w:p>
    <w:p w14:paraId="32F36938" w14:textId="22A3F4AC" w:rsidR="00147F90" w:rsidRPr="00701EFD" w:rsidRDefault="00147F90" w:rsidP="00DB6D20">
      <w:pPr>
        <w:pStyle w:val="ListParagraph"/>
        <w:numPr>
          <w:ilvl w:val="0"/>
          <w:numId w:val="1"/>
        </w:numPr>
        <w:spacing w:before="0" w:after="0"/>
        <w:jc w:val="both"/>
        <w:rPr>
          <w:lang w:val="en-US"/>
        </w:rPr>
      </w:pPr>
      <w:r w:rsidRPr="00701EFD">
        <w:rPr>
          <w:b/>
          <w:bCs/>
          <w:lang w:val="en-US"/>
        </w:rPr>
        <w:t>Question 4:</w:t>
      </w:r>
      <w:r w:rsidRPr="00701EFD">
        <w:rPr>
          <w:lang w:val="en-US"/>
        </w:rPr>
        <w:t xml:space="preserve"> </w:t>
      </w:r>
      <w:r w:rsidR="00774906" w:rsidRPr="00701EFD">
        <w:rPr>
          <w:lang w:val="en-US"/>
        </w:rPr>
        <w:t xml:space="preserve">What indications exist that </w:t>
      </w:r>
      <w:r w:rsidR="000F7B0C" w:rsidRPr="00701EFD">
        <w:rPr>
          <w:lang w:val="en-US"/>
        </w:rPr>
        <w:t xml:space="preserve">DCAF’s interventions </w:t>
      </w:r>
      <w:r w:rsidR="00077999" w:rsidRPr="00701EFD">
        <w:rPr>
          <w:lang w:val="en-US"/>
        </w:rPr>
        <w:t>around external oversight</w:t>
      </w:r>
      <w:r w:rsidR="000F7B0C" w:rsidRPr="00701EFD">
        <w:rPr>
          <w:lang w:val="en-US"/>
        </w:rPr>
        <w:t xml:space="preserve"> </w:t>
      </w:r>
      <w:r w:rsidR="00077999" w:rsidRPr="00701EFD">
        <w:rPr>
          <w:lang w:val="en-US"/>
        </w:rPr>
        <w:t>c</w:t>
      </w:r>
      <w:r w:rsidR="000F7B0C" w:rsidRPr="00701EFD">
        <w:rPr>
          <w:lang w:val="en-US"/>
        </w:rPr>
        <w:t>ontributed</w:t>
      </w:r>
      <w:r w:rsidR="00077999" w:rsidRPr="00701EFD">
        <w:rPr>
          <w:lang w:val="en-US"/>
        </w:rPr>
        <w:t xml:space="preserve"> to more effective and accountable provision of security</w:t>
      </w:r>
      <w:r w:rsidR="00774906" w:rsidRPr="00701EFD">
        <w:rPr>
          <w:lang w:val="en-US"/>
        </w:rPr>
        <w:t xml:space="preserve"> as a public good</w:t>
      </w:r>
      <w:r w:rsidR="00077999" w:rsidRPr="00701EFD">
        <w:rPr>
          <w:lang w:val="en-US"/>
        </w:rPr>
        <w:t>?</w:t>
      </w:r>
    </w:p>
    <w:p w14:paraId="460B919D" w14:textId="3A5C157B" w:rsidR="00147F90" w:rsidRPr="00701EFD" w:rsidRDefault="00147F90" w:rsidP="00DB6D20">
      <w:pPr>
        <w:spacing w:before="0" w:after="0"/>
        <w:jc w:val="both"/>
        <w:rPr>
          <w:lang w:val="en-US"/>
        </w:rPr>
      </w:pPr>
    </w:p>
    <w:p w14:paraId="70AB0AF0" w14:textId="4A7AA70A" w:rsidR="00147F90" w:rsidRPr="00701EFD" w:rsidRDefault="00147F90" w:rsidP="00DB6D20">
      <w:pPr>
        <w:pStyle w:val="Default"/>
        <w:jc w:val="both"/>
        <w:rPr>
          <w:rFonts w:asciiTheme="minorHAnsi" w:hAnsiTheme="minorHAnsi" w:cstheme="minorBidi"/>
          <w:b/>
          <w:bCs/>
          <w:color w:val="auto"/>
          <w:sz w:val="32"/>
          <w:szCs w:val="32"/>
          <w:lang w:val="en-US"/>
        </w:rPr>
      </w:pPr>
      <w:r w:rsidRPr="00701EFD">
        <w:rPr>
          <w:rFonts w:asciiTheme="minorHAnsi" w:hAnsiTheme="minorHAnsi" w:cstheme="minorBidi"/>
          <w:b/>
          <w:bCs/>
          <w:color w:val="auto"/>
          <w:sz w:val="32"/>
          <w:szCs w:val="32"/>
          <w:lang w:val="en-US"/>
        </w:rPr>
        <w:t xml:space="preserve">4. Scope </w:t>
      </w:r>
    </w:p>
    <w:p w14:paraId="264B7727" w14:textId="7EE6CAF0" w:rsidR="0045516F" w:rsidRPr="00701EFD" w:rsidRDefault="0036560D" w:rsidP="00DB6D20">
      <w:pPr>
        <w:pStyle w:val="Default"/>
        <w:jc w:val="both"/>
        <w:rPr>
          <w:rFonts w:asciiTheme="minorHAnsi" w:hAnsiTheme="minorHAnsi" w:cstheme="minorBidi"/>
          <w:color w:val="auto"/>
          <w:sz w:val="20"/>
          <w:szCs w:val="22"/>
          <w:lang w:val="en-US"/>
        </w:rPr>
      </w:pPr>
      <w:r w:rsidRPr="00701EFD">
        <w:rPr>
          <w:rFonts w:asciiTheme="minorHAnsi" w:hAnsiTheme="minorHAnsi" w:cstheme="minorBidi"/>
          <w:color w:val="auto"/>
          <w:sz w:val="20"/>
          <w:szCs w:val="22"/>
          <w:lang w:val="en-US"/>
        </w:rPr>
        <w:t xml:space="preserve">The evaluation will cover approximately </w:t>
      </w:r>
      <w:r w:rsidR="00774906" w:rsidRPr="00701EFD">
        <w:rPr>
          <w:rFonts w:asciiTheme="minorHAnsi" w:hAnsiTheme="minorHAnsi" w:cstheme="minorBidi"/>
          <w:color w:val="auto"/>
          <w:sz w:val="20"/>
          <w:szCs w:val="22"/>
          <w:lang w:val="en-US"/>
        </w:rPr>
        <w:t>26</w:t>
      </w:r>
      <w:r w:rsidRPr="00701EFD">
        <w:rPr>
          <w:rFonts w:asciiTheme="minorHAnsi" w:hAnsiTheme="minorHAnsi" w:cstheme="minorBidi"/>
          <w:color w:val="auto"/>
          <w:sz w:val="20"/>
          <w:szCs w:val="22"/>
          <w:lang w:val="en-US"/>
        </w:rPr>
        <w:t xml:space="preserve"> projects</w:t>
      </w:r>
      <w:r w:rsidR="00470900" w:rsidRPr="00701EFD">
        <w:rPr>
          <w:rFonts w:asciiTheme="minorHAnsi" w:hAnsiTheme="minorHAnsi" w:cstheme="minorBidi"/>
          <w:color w:val="auto"/>
          <w:sz w:val="20"/>
          <w:szCs w:val="22"/>
          <w:lang w:val="en-US"/>
        </w:rPr>
        <w:t>,</w:t>
      </w:r>
      <w:r w:rsidRPr="00701EFD">
        <w:rPr>
          <w:rFonts w:asciiTheme="minorHAnsi" w:hAnsiTheme="minorHAnsi" w:cstheme="minorBidi"/>
          <w:color w:val="auto"/>
          <w:sz w:val="20"/>
          <w:szCs w:val="22"/>
          <w:lang w:val="en-US"/>
        </w:rPr>
        <w:t xml:space="preserve"> </w:t>
      </w:r>
      <w:r w:rsidR="007B4B53" w:rsidRPr="00701EFD">
        <w:rPr>
          <w:rFonts w:asciiTheme="minorHAnsi" w:hAnsiTheme="minorHAnsi" w:cstheme="minorBidi"/>
          <w:color w:val="auto"/>
          <w:sz w:val="20"/>
          <w:szCs w:val="22"/>
          <w:lang w:val="en-US"/>
        </w:rPr>
        <w:t>funded by different donors</w:t>
      </w:r>
      <w:r w:rsidR="00470900" w:rsidRPr="00701EFD">
        <w:rPr>
          <w:rFonts w:asciiTheme="minorHAnsi" w:hAnsiTheme="minorHAnsi" w:cstheme="minorBidi"/>
          <w:color w:val="auto"/>
          <w:sz w:val="20"/>
          <w:szCs w:val="22"/>
          <w:lang w:val="en-US"/>
        </w:rPr>
        <w:t>,</w:t>
      </w:r>
      <w:r w:rsidR="007B4B53" w:rsidRPr="00701EFD">
        <w:rPr>
          <w:rFonts w:asciiTheme="minorHAnsi" w:hAnsiTheme="minorHAnsi" w:cstheme="minorBidi"/>
          <w:color w:val="auto"/>
          <w:sz w:val="20"/>
          <w:szCs w:val="22"/>
          <w:lang w:val="en-US"/>
        </w:rPr>
        <w:t xml:space="preserve"> </w:t>
      </w:r>
      <w:r w:rsidRPr="00701EFD">
        <w:rPr>
          <w:rFonts w:asciiTheme="minorHAnsi" w:hAnsiTheme="minorHAnsi" w:cstheme="minorBidi"/>
          <w:color w:val="auto"/>
          <w:sz w:val="20"/>
          <w:szCs w:val="22"/>
          <w:lang w:val="en-US"/>
        </w:rPr>
        <w:t xml:space="preserve">that have been </w:t>
      </w:r>
      <w:r w:rsidR="00B555D7" w:rsidRPr="00701EFD">
        <w:rPr>
          <w:rFonts w:asciiTheme="minorHAnsi" w:hAnsiTheme="minorHAnsi" w:cstheme="minorBidi"/>
          <w:color w:val="auto"/>
          <w:sz w:val="20"/>
          <w:szCs w:val="22"/>
          <w:lang w:val="en-US"/>
        </w:rPr>
        <w:t xml:space="preserve">or are being </w:t>
      </w:r>
      <w:r w:rsidRPr="00701EFD">
        <w:rPr>
          <w:rFonts w:asciiTheme="minorHAnsi" w:hAnsiTheme="minorHAnsi" w:cstheme="minorBidi"/>
          <w:color w:val="auto"/>
          <w:sz w:val="20"/>
          <w:szCs w:val="22"/>
          <w:lang w:val="en-US"/>
        </w:rPr>
        <w:t xml:space="preserve">implemented </w:t>
      </w:r>
      <w:r w:rsidR="00B555D7" w:rsidRPr="00701EFD">
        <w:rPr>
          <w:rFonts w:asciiTheme="minorHAnsi" w:hAnsiTheme="minorHAnsi" w:cstheme="minorBidi"/>
          <w:color w:val="auto"/>
          <w:sz w:val="20"/>
          <w:szCs w:val="22"/>
          <w:lang w:val="en-US"/>
        </w:rPr>
        <w:t>in</w:t>
      </w:r>
      <w:r w:rsidR="00B02553" w:rsidRPr="00701EFD">
        <w:rPr>
          <w:rFonts w:asciiTheme="minorHAnsi" w:hAnsiTheme="minorHAnsi" w:cstheme="minorBidi"/>
          <w:color w:val="auto"/>
          <w:sz w:val="20"/>
          <w:szCs w:val="22"/>
          <w:lang w:val="en-US"/>
        </w:rPr>
        <w:t xml:space="preserve"> the Middle East,</w:t>
      </w:r>
      <w:r w:rsidR="00B555D7" w:rsidRPr="00701EFD">
        <w:rPr>
          <w:rFonts w:asciiTheme="minorHAnsi" w:hAnsiTheme="minorHAnsi" w:cstheme="minorBidi"/>
          <w:color w:val="auto"/>
          <w:sz w:val="20"/>
          <w:szCs w:val="22"/>
          <w:lang w:val="en-US"/>
        </w:rPr>
        <w:t xml:space="preserve"> Africa, Asia, </w:t>
      </w:r>
      <w:r w:rsidR="00B37943" w:rsidRPr="00701EFD">
        <w:rPr>
          <w:rFonts w:asciiTheme="minorHAnsi" w:hAnsiTheme="minorHAnsi" w:cstheme="minorBidi"/>
          <w:color w:val="auto"/>
          <w:sz w:val="20"/>
          <w:szCs w:val="22"/>
          <w:lang w:val="en-US"/>
        </w:rPr>
        <w:t>Europe,</w:t>
      </w:r>
      <w:r w:rsidR="00B555D7" w:rsidRPr="00701EFD">
        <w:rPr>
          <w:rFonts w:asciiTheme="minorHAnsi" w:hAnsiTheme="minorHAnsi" w:cstheme="minorBidi"/>
          <w:color w:val="auto"/>
          <w:sz w:val="20"/>
          <w:szCs w:val="22"/>
          <w:lang w:val="en-US"/>
        </w:rPr>
        <w:t xml:space="preserve"> and Latin America </w:t>
      </w:r>
      <w:r w:rsidR="0049526F" w:rsidRPr="00701EFD">
        <w:rPr>
          <w:rFonts w:asciiTheme="minorHAnsi" w:hAnsiTheme="minorHAnsi" w:cstheme="minorBidi"/>
          <w:color w:val="auto"/>
          <w:sz w:val="20"/>
          <w:szCs w:val="22"/>
          <w:lang w:val="en-US"/>
        </w:rPr>
        <w:t xml:space="preserve">(some of those in fragile contexts) </w:t>
      </w:r>
      <w:r w:rsidRPr="00701EFD">
        <w:rPr>
          <w:rFonts w:asciiTheme="minorHAnsi" w:hAnsiTheme="minorHAnsi" w:cstheme="minorBidi"/>
          <w:color w:val="auto"/>
          <w:sz w:val="20"/>
          <w:szCs w:val="22"/>
          <w:lang w:val="en-US"/>
        </w:rPr>
        <w:t xml:space="preserve">over the past </w:t>
      </w:r>
      <w:r w:rsidR="0061227E" w:rsidRPr="00701EFD">
        <w:rPr>
          <w:rFonts w:asciiTheme="minorHAnsi" w:hAnsiTheme="minorHAnsi" w:cstheme="minorBidi"/>
          <w:color w:val="auto"/>
          <w:sz w:val="20"/>
          <w:szCs w:val="22"/>
          <w:lang w:val="en-US"/>
        </w:rPr>
        <w:t>ten</w:t>
      </w:r>
      <w:r w:rsidRPr="00701EFD">
        <w:rPr>
          <w:rFonts w:asciiTheme="minorHAnsi" w:hAnsiTheme="minorHAnsi" w:cstheme="minorBidi"/>
          <w:color w:val="auto"/>
          <w:sz w:val="20"/>
          <w:szCs w:val="22"/>
          <w:lang w:val="en-US"/>
        </w:rPr>
        <w:t xml:space="preserve"> years</w:t>
      </w:r>
      <w:r w:rsidR="0061227E" w:rsidRPr="00701EFD">
        <w:rPr>
          <w:rFonts w:asciiTheme="minorHAnsi" w:hAnsiTheme="minorHAnsi" w:cstheme="minorBidi"/>
          <w:color w:val="auto"/>
          <w:sz w:val="20"/>
          <w:szCs w:val="22"/>
          <w:lang w:val="en-US"/>
        </w:rPr>
        <w:t xml:space="preserve"> with </w:t>
      </w:r>
      <w:r w:rsidR="00470900" w:rsidRPr="00701EFD">
        <w:rPr>
          <w:rFonts w:asciiTheme="minorHAnsi" w:hAnsiTheme="minorHAnsi" w:cstheme="minorBidi"/>
          <w:color w:val="auto"/>
          <w:sz w:val="20"/>
          <w:szCs w:val="22"/>
          <w:lang w:val="en-US"/>
        </w:rPr>
        <w:t xml:space="preserve">external oversight actors of the security sector, i.e., </w:t>
      </w:r>
      <w:r w:rsidR="0061227E" w:rsidRPr="00701EFD">
        <w:rPr>
          <w:rFonts w:asciiTheme="minorHAnsi" w:hAnsiTheme="minorHAnsi" w:cstheme="minorBidi"/>
          <w:color w:val="auto"/>
          <w:sz w:val="20"/>
          <w:szCs w:val="22"/>
          <w:lang w:val="en-US"/>
        </w:rPr>
        <w:t>political/ independent bodies, media and civil society</w:t>
      </w:r>
      <w:r w:rsidRPr="00701EFD">
        <w:rPr>
          <w:rFonts w:asciiTheme="minorHAnsi" w:hAnsiTheme="minorHAnsi" w:cstheme="minorBidi"/>
          <w:color w:val="auto"/>
          <w:sz w:val="20"/>
          <w:szCs w:val="22"/>
          <w:lang w:val="en-US"/>
        </w:rPr>
        <w:t xml:space="preserve">. </w:t>
      </w:r>
      <w:r w:rsidR="00B555D7" w:rsidRPr="00701EFD">
        <w:rPr>
          <w:rFonts w:asciiTheme="minorHAnsi" w:hAnsiTheme="minorHAnsi" w:cstheme="minorBidi"/>
          <w:color w:val="auto"/>
          <w:sz w:val="20"/>
          <w:szCs w:val="22"/>
          <w:lang w:val="en-US"/>
        </w:rPr>
        <w:t xml:space="preserve">About half of the projects are ongoing but </w:t>
      </w:r>
      <w:r w:rsidR="00DF0C31" w:rsidRPr="00701EFD">
        <w:rPr>
          <w:rFonts w:asciiTheme="minorHAnsi" w:hAnsiTheme="minorHAnsi" w:cstheme="minorBidi"/>
          <w:color w:val="auto"/>
          <w:sz w:val="20"/>
          <w:szCs w:val="22"/>
          <w:lang w:val="en-US"/>
        </w:rPr>
        <w:t xml:space="preserve">a number of these are </w:t>
      </w:r>
      <w:r w:rsidR="00B555D7" w:rsidRPr="00701EFD">
        <w:rPr>
          <w:rFonts w:asciiTheme="minorHAnsi" w:hAnsiTheme="minorHAnsi" w:cstheme="minorBidi"/>
          <w:color w:val="auto"/>
          <w:sz w:val="20"/>
          <w:szCs w:val="22"/>
          <w:lang w:val="en-US"/>
        </w:rPr>
        <w:t xml:space="preserve">close to their end dates. In average, projects have/ had a duration of 2-3 years. </w:t>
      </w:r>
      <w:r w:rsidR="0045516F" w:rsidRPr="00701EFD">
        <w:rPr>
          <w:rFonts w:asciiTheme="minorHAnsi" w:hAnsiTheme="minorHAnsi" w:cstheme="minorBidi"/>
          <w:color w:val="auto"/>
          <w:sz w:val="20"/>
          <w:szCs w:val="22"/>
          <w:lang w:val="en-US"/>
        </w:rPr>
        <w:t xml:space="preserve">In some cases, </w:t>
      </w:r>
      <w:r w:rsidR="00470900" w:rsidRPr="00701EFD">
        <w:rPr>
          <w:rFonts w:asciiTheme="minorHAnsi" w:hAnsiTheme="minorHAnsi" w:cstheme="minorBidi"/>
          <w:color w:val="auto"/>
          <w:sz w:val="20"/>
          <w:szCs w:val="22"/>
          <w:lang w:val="en-US"/>
        </w:rPr>
        <w:t>‘</w:t>
      </w:r>
      <w:r w:rsidR="0045516F" w:rsidRPr="00701EFD">
        <w:rPr>
          <w:rFonts w:asciiTheme="minorHAnsi" w:hAnsiTheme="minorHAnsi" w:cstheme="minorBidi"/>
          <w:color w:val="auto"/>
          <w:sz w:val="20"/>
          <w:szCs w:val="22"/>
          <w:lang w:val="en-US"/>
        </w:rPr>
        <w:t>external oversight</w:t>
      </w:r>
      <w:r w:rsidR="00470900" w:rsidRPr="00701EFD">
        <w:rPr>
          <w:rFonts w:asciiTheme="minorHAnsi" w:hAnsiTheme="minorHAnsi" w:cstheme="minorBidi"/>
          <w:color w:val="auto"/>
          <w:sz w:val="20"/>
          <w:szCs w:val="22"/>
          <w:lang w:val="en-US"/>
        </w:rPr>
        <w:t>’</w:t>
      </w:r>
      <w:r w:rsidR="0045516F" w:rsidRPr="00701EFD">
        <w:rPr>
          <w:rFonts w:asciiTheme="minorHAnsi" w:hAnsiTheme="minorHAnsi" w:cstheme="minorBidi"/>
          <w:color w:val="auto"/>
          <w:sz w:val="20"/>
          <w:szCs w:val="22"/>
          <w:lang w:val="en-US"/>
        </w:rPr>
        <w:t xml:space="preserve"> is an outcome within a larger project. </w:t>
      </w:r>
    </w:p>
    <w:p w14:paraId="476242C7" w14:textId="77777777" w:rsidR="0045516F" w:rsidRPr="00701EFD" w:rsidRDefault="0045516F" w:rsidP="00DB6D20">
      <w:pPr>
        <w:pStyle w:val="Default"/>
        <w:jc w:val="both"/>
        <w:rPr>
          <w:rFonts w:asciiTheme="minorHAnsi" w:hAnsiTheme="minorHAnsi" w:cstheme="minorBidi"/>
          <w:color w:val="auto"/>
          <w:sz w:val="20"/>
          <w:szCs w:val="22"/>
          <w:lang w:val="en-US"/>
        </w:rPr>
      </w:pPr>
    </w:p>
    <w:p w14:paraId="01314B4E" w14:textId="1016076D" w:rsidR="00147F90" w:rsidRPr="00701EFD" w:rsidRDefault="00470900" w:rsidP="00DB6D20">
      <w:pPr>
        <w:pStyle w:val="Default"/>
        <w:jc w:val="both"/>
        <w:rPr>
          <w:rFonts w:asciiTheme="minorHAnsi" w:hAnsiTheme="minorHAnsi" w:cstheme="minorBidi"/>
          <w:color w:val="auto"/>
          <w:sz w:val="20"/>
          <w:szCs w:val="22"/>
          <w:lang w:val="en-US"/>
        </w:rPr>
      </w:pPr>
      <w:r w:rsidRPr="00701EFD">
        <w:rPr>
          <w:rFonts w:asciiTheme="minorHAnsi" w:hAnsiTheme="minorHAnsi" w:cstheme="minorBidi"/>
          <w:color w:val="auto"/>
          <w:sz w:val="20"/>
          <w:szCs w:val="22"/>
          <w:lang w:val="en-US"/>
        </w:rPr>
        <w:t>The selected p</w:t>
      </w:r>
      <w:r w:rsidR="00B555D7" w:rsidRPr="00701EFD">
        <w:rPr>
          <w:rFonts w:asciiTheme="minorHAnsi" w:hAnsiTheme="minorHAnsi" w:cstheme="minorBidi"/>
          <w:color w:val="auto"/>
          <w:sz w:val="20"/>
          <w:szCs w:val="22"/>
          <w:lang w:val="en-US"/>
        </w:rPr>
        <w:t>rojects are different in nature – while m</w:t>
      </w:r>
      <w:r w:rsidR="00AF55F8">
        <w:rPr>
          <w:rFonts w:asciiTheme="minorHAnsi" w:hAnsiTheme="minorHAnsi" w:cstheme="minorBidi"/>
          <w:color w:val="auto"/>
          <w:sz w:val="20"/>
          <w:szCs w:val="22"/>
          <w:lang w:val="en-US"/>
        </w:rPr>
        <w:t>any</w:t>
      </w:r>
      <w:r w:rsidR="00B555D7" w:rsidRPr="00701EFD">
        <w:rPr>
          <w:rFonts w:asciiTheme="minorHAnsi" w:hAnsiTheme="minorHAnsi" w:cstheme="minorBidi"/>
          <w:color w:val="auto"/>
          <w:sz w:val="20"/>
          <w:szCs w:val="22"/>
          <w:lang w:val="en-US"/>
        </w:rPr>
        <w:t xml:space="preserve"> projects </w:t>
      </w:r>
      <w:r w:rsidR="00CE1FCF" w:rsidRPr="00701EFD">
        <w:rPr>
          <w:rFonts w:asciiTheme="minorHAnsi" w:hAnsiTheme="minorHAnsi" w:cstheme="minorBidi"/>
          <w:color w:val="auto"/>
          <w:sz w:val="20"/>
          <w:szCs w:val="22"/>
          <w:lang w:val="en-US"/>
        </w:rPr>
        <w:t xml:space="preserve">focus on </w:t>
      </w:r>
      <w:r w:rsidR="00A54C46" w:rsidRPr="00701EFD">
        <w:rPr>
          <w:rFonts w:asciiTheme="minorHAnsi" w:hAnsiTheme="minorHAnsi" w:cstheme="minorBidi"/>
          <w:color w:val="auto"/>
          <w:sz w:val="20"/>
          <w:szCs w:val="22"/>
          <w:lang w:val="en-US"/>
        </w:rPr>
        <w:t>directly supporting</w:t>
      </w:r>
      <w:r w:rsidR="00CE1FCF" w:rsidRPr="00701EFD">
        <w:rPr>
          <w:rFonts w:asciiTheme="minorHAnsi" w:hAnsiTheme="minorHAnsi" w:cstheme="minorBidi"/>
          <w:color w:val="auto"/>
          <w:sz w:val="20"/>
          <w:szCs w:val="22"/>
          <w:lang w:val="en-US"/>
        </w:rPr>
        <w:t xml:space="preserve"> security sector reform processes with national or multilateral partners</w:t>
      </w:r>
      <w:r w:rsidR="0049526F" w:rsidRPr="00701EFD">
        <w:rPr>
          <w:rFonts w:asciiTheme="minorHAnsi" w:hAnsiTheme="minorHAnsi" w:cstheme="minorBidi"/>
          <w:color w:val="auto"/>
          <w:sz w:val="20"/>
          <w:szCs w:val="22"/>
          <w:lang w:val="en-US"/>
        </w:rPr>
        <w:t>, some</w:t>
      </w:r>
      <w:r w:rsidR="00B555D7" w:rsidRPr="00701EFD">
        <w:rPr>
          <w:rFonts w:asciiTheme="minorHAnsi" w:hAnsiTheme="minorHAnsi" w:cstheme="minorBidi"/>
          <w:color w:val="auto"/>
          <w:sz w:val="20"/>
          <w:szCs w:val="22"/>
          <w:lang w:val="en-US"/>
        </w:rPr>
        <w:t xml:space="preserve"> </w:t>
      </w:r>
      <w:r w:rsidR="0049526F" w:rsidRPr="00701EFD">
        <w:rPr>
          <w:rFonts w:asciiTheme="minorHAnsi" w:hAnsiTheme="minorHAnsi" w:cstheme="minorBidi"/>
          <w:color w:val="auto"/>
          <w:sz w:val="20"/>
          <w:szCs w:val="22"/>
          <w:lang w:val="en-US"/>
        </w:rPr>
        <w:t>projects</w:t>
      </w:r>
      <w:r w:rsidR="00B555D7" w:rsidRPr="00701EFD">
        <w:rPr>
          <w:rFonts w:asciiTheme="minorHAnsi" w:hAnsiTheme="minorHAnsi" w:cstheme="minorBidi"/>
          <w:color w:val="auto"/>
          <w:sz w:val="20"/>
          <w:szCs w:val="22"/>
          <w:lang w:val="en-US"/>
        </w:rPr>
        <w:t xml:space="preserve"> </w:t>
      </w:r>
      <w:r w:rsidR="000A01E4" w:rsidRPr="00701EFD">
        <w:rPr>
          <w:rFonts w:asciiTheme="minorHAnsi" w:hAnsiTheme="minorHAnsi" w:cstheme="minorBidi"/>
          <w:color w:val="auto"/>
          <w:sz w:val="20"/>
          <w:szCs w:val="22"/>
          <w:lang w:val="en-US"/>
        </w:rPr>
        <w:t xml:space="preserve">focus </w:t>
      </w:r>
      <w:r w:rsidR="00B37943" w:rsidRPr="00701EFD">
        <w:rPr>
          <w:rFonts w:asciiTheme="minorHAnsi" w:hAnsiTheme="minorHAnsi" w:cstheme="minorBidi"/>
          <w:color w:val="auto"/>
          <w:sz w:val="20"/>
          <w:szCs w:val="22"/>
          <w:lang w:val="en-US"/>
        </w:rPr>
        <w:t>on</w:t>
      </w:r>
      <w:r w:rsidR="0049526F" w:rsidRPr="00701EFD">
        <w:rPr>
          <w:rFonts w:asciiTheme="minorHAnsi" w:hAnsiTheme="minorHAnsi" w:cstheme="minorBidi"/>
          <w:color w:val="auto"/>
          <w:sz w:val="20"/>
          <w:szCs w:val="22"/>
          <w:lang w:val="en-US"/>
        </w:rPr>
        <w:t xml:space="preserve"> the development of</w:t>
      </w:r>
      <w:r w:rsidR="00B555D7" w:rsidRPr="00701EFD">
        <w:rPr>
          <w:rFonts w:asciiTheme="minorHAnsi" w:hAnsiTheme="minorHAnsi" w:cstheme="minorBidi"/>
          <w:color w:val="auto"/>
          <w:sz w:val="20"/>
          <w:szCs w:val="22"/>
          <w:lang w:val="en-US"/>
        </w:rPr>
        <w:t xml:space="preserve"> </w:t>
      </w:r>
      <w:r w:rsidR="00650E3F">
        <w:rPr>
          <w:rFonts w:asciiTheme="minorHAnsi" w:hAnsiTheme="minorHAnsi" w:cstheme="minorBidi"/>
          <w:i/>
          <w:iCs/>
          <w:color w:val="auto"/>
          <w:sz w:val="20"/>
          <w:szCs w:val="22"/>
          <w:lang w:val="en-US"/>
        </w:rPr>
        <w:t>k</w:t>
      </w:r>
      <w:r w:rsidR="00B555D7" w:rsidRPr="008A2E09">
        <w:rPr>
          <w:rFonts w:asciiTheme="minorHAnsi" w:hAnsiTheme="minorHAnsi" w:cstheme="minorBidi"/>
          <w:i/>
          <w:iCs/>
          <w:color w:val="auto"/>
          <w:sz w:val="20"/>
          <w:szCs w:val="22"/>
          <w:lang w:val="en-US"/>
        </w:rPr>
        <w:t xml:space="preserve">nowledge </w:t>
      </w:r>
      <w:r w:rsidR="00650E3F">
        <w:rPr>
          <w:rFonts w:asciiTheme="minorHAnsi" w:hAnsiTheme="minorHAnsi" w:cstheme="minorBidi"/>
          <w:i/>
          <w:iCs/>
          <w:color w:val="auto"/>
          <w:sz w:val="20"/>
          <w:szCs w:val="22"/>
          <w:lang w:val="en-US"/>
        </w:rPr>
        <w:t>p</w:t>
      </w:r>
      <w:r w:rsidR="00B555D7" w:rsidRPr="008A2E09">
        <w:rPr>
          <w:rFonts w:asciiTheme="minorHAnsi" w:hAnsiTheme="minorHAnsi" w:cstheme="minorBidi"/>
          <w:i/>
          <w:iCs/>
          <w:color w:val="auto"/>
          <w:sz w:val="20"/>
          <w:szCs w:val="22"/>
          <w:lang w:val="en-US"/>
        </w:rPr>
        <w:t>roduct</w:t>
      </w:r>
      <w:r w:rsidR="007B4B53" w:rsidRPr="008A2E09">
        <w:rPr>
          <w:rFonts w:asciiTheme="minorHAnsi" w:hAnsiTheme="minorHAnsi" w:cstheme="minorBidi"/>
          <w:i/>
          <w:iCs/>
          <w:color w:val="auto"/>
          <w:sz w:val="20"/>
          <w:szCs w:val="22"/>
          <w:lang w:val="en-US"/>
        </w:rPr>
        <w:t>s</w:t>
      </w:r>
      <w:r w:rsidR="006F439B" w:rsidRPr="00701EFD">
        <w:rPr>
          <w:rFonts w:asciiTheme="minorHAnsi" w:hAnsiTheme="minorHAnsi" w:cstheme="minorBidi"/>
          <w:color w:val="auto"/>
          <w:sz w:val="20"/>
          <w:szCs w:val="22"/>
          <w:lang w:val="en-US"/>
        </w:rPr>
        <w:t xml:space="preserve"> </w:t>
      </w:r>
      <w:r w:rsidRPr="00701EFD">
        <w:rPr>
          <w:rFonts w:asciiTheme="minorHAnsi" w:hAnsiTheme="minorHAnsi" w:cstheme="minorBidi"/>
          <w:color w:val="auto"/>
          <w:sz w:val="20"/>
          <w:szCs w:val="22"/>
          <w:lang w:val="en-US"/>
        </w:rPr>
        <w:t xml:space="preserve">and others </w:t>
      </w:r>
      <w:r w:rsidR="000A01E4" w:rsidRPr="00701EFD">
        <w:rPr>
          <w:rFonts w:asciiTheme="minorHAnsi" w:hAnsiTheme="minorHAnsi" w:cstheme="minorBidi"/>
          <w:color w:val="auto"/>
          <w:sz w:val="20"/>
          <w:szCs w:val="22"/>
          <w:lang w:val="en-US"/>
        </w:rPr>
        <w:t xml:space="preserve">on </w:t>
      </w:r>
      <w:r w:rsidR="0045516F" w:rsidRPr="00701EFD">
        <w:rPr>
          <w:rFonts w:asciiTheme="minorHAnsi" w:hAnsiTheme="minorHAnsi" w:cstheme="minorBidi"/>
          <w:color w:val="auto"/>
          <w:sz w:val="20"/>
          <w:szCs w:val="22"/>
          <w:lang w:val="en-US"/>
        </w:rPr>
        <w:t>providing</w:t>
      </w:r>
      <w:r w:rsidR="006F439B" w:rsidRPr="00701EFD">
        <w:rPr>
          <w:rFonts w:asciiTheme="minorHAnsi" w:hAnsiTheme="minorHAnsi" w:cstheme="minorBidi"/>
          <w:color w:val="auto"/>
          <w:sz w:val="20"/>
          <w:szCs w:val="22"/>
          <w:lang w:val="en-US"/>
        </w:rPr>
        <w:t xml:space="preserve"> </w:t>
      </w:r>
      <w:r w:rsidR="00650E3F">
        <w:rPr>
          <w:rFonts w:asciiTheme="minorHAnsi" w:hAnsiTheme="minorHAnsi" w:cstheme="minorBidi"/>
          <w:i/>
          <w:iCs/>
          <w:color w:val="auto"/>
          <w:sz w:val="20"/>
          <w:szCs w:val="22"/>
          <w:lang w:val="en-US"/>
        </w:rPr>
        <w:t>p</w:t>
      </w:r>
      <w:r w:rsidR="006F439B" w:rsidRPr="008A2E09">
        <w:rPr>
          <w:rFonts w:asciiTheme="minorHAnsi" w:hAnsiTheme="minorHAnsi" w:cstheme="minorBidi"/>
          <w:i/>
          <w:iCs/>
          <w:color w:val="auto"/>
          <w:sz w:val="20"/>
          <w:szCs w:val="22"/>
          <w:lang w:val="en-US"/>
        </w:rPr>
        <w:t xml:space="preserve">olicy </w:t>
      </w:r>
      <w:r w:rsidR="00650E3F">
        <w:rPr>
          <w:rFonts w:asciiTheme="minorHAnsi" w:hAnsiTheme="minorHAnsi" w:cstheme="minorBidi"/>
          <w:i/>
          <w:iCs/>
          <w:color w:val="auto"/>
          <w:sz w:val="20"/>
          <w:szCs w:val="22"/>
          <w:lang w:val="en-US"/>
        </w:rPr>
        <w:t>a</w:t>
      </w:r>
      <w:r w:rsidR="006F439B" w:rsidRPr="008A2E09">
        <w:rPr>
          <w:rFonts w:asciiTheme="minorHAnsi" w:hAnsiTheme="minorHAnsi" w:cstheme="minorBidi"/>
          <w:i/>
          <w:iCs/>
          <w:color w:val="auto"/>
          <w:sz w:val="20"/>
          <w:szCs w:val="22"/>
          <w:lang w:val="en-US"/>
        </w:rPr>
        <w:t>dvi</w:t>
      </w:r>
      <w:r w:rsidR="00DF0C31" w:rsidRPr="008A2E09">
        <w:rPr>
          <w:rFonts w:asciiTheme="minorHAnsi" w:hAnsiTheme="minorHAnsi" w:cstheme="minorBidi"/>
          <w:i/>
          <w:iCs/>
          <w:color w:val="auto"/>
          <w:sz w:val="20"/>
          <w:szCs w:val="22"/>
          <w:lang w:val="en-US"/>
        </w:rPr>
        <w:t>c</w:t>
      </w:r>
      <w:r w:rsidR="006F439B" w:rsidRPr="008A2E09">
        <w:rPr>
          <w:rFonts w:asciiTheme="minorHAnsi" w:hAnsiTheme="minorHAnsi" w:cstheme="minorBidi"/>
          <w:i/>
          <w:iCs/>
          <w:color w:val="auto"/>
          <w:sz w:val="20"/>
          <w:szCs w:val="22"/>
          <w:lang w:val="en-US"/>
        </w:rPr>
        <w:t>e</w:t>
      </w:r>
      <w:r w:rsidR="0049526F" w:rsidRPr="00701EFD">
        <w:rPr>
          <w:rFonts w:asciiTheme="minorHAnsi" w:hAnsiTheme="minorHAnsi" w:cstheme="minorBidi"/>
          <w:color w:val="auto"/>
          <w:sz w:val="20"/>
          <w:szCs w:val="22"/>
          <w:lang w:val="en-US"/>
        </w:rPr>
        <w:t>.</w:t>
      </w:r>
      <w:r w:rsidR="00B555D7" w:rsidRPr="00701EFD">
        <w:rPr>
          <w:rFonts w:asciiTheme="minorHAnsi" w:hAnsiTheme="minorHAnsi" w:cstheme="minorBidi"/>
          <w:color w:val="auto"/>
          <w:sz w:val="20"/>
          <w:szCs w:val="22"/>
          <w:lang w:val="en-US"/>
        </w:rPr>
        <w:t xml:space="preserve"> </w:t>
      </w:r>
      <w:r w:rsidRPr="00701EFD">
        <w:rPr>
          <w:rFonts w:asciiTheme="minorHAnsi" w:hAnsiTheme="minorHAnsi" w:cstheme="minorBidi"/>
          <w:color w:val="auto"/>
          <w:sz w:val="20"/>
          <w:szCs w:val="22"/>
          <w:lang w:val="en-US"/>
        </w:rPr>
        <w:t>DCAF’s aim is to ensure that its operational experience influences its work on policy</w:t>
      </w:r>
      <w:r w:rsidRPr="00701EFD">
        <w:rPr>
          <w:rFonts w:asciiTheme="minorHAnsi" w:hAnsiTheme="minorHAnsi" w:cs="Calibri"/>
          <w:sz w:val="22"/>
          <w:szCs w:val="22"/>
          <w:lang w:val="en-US"/>
        </w:rPr>
        <w:t xml:space="preserve"> </w:t>
      </w:r>
      <w:r w:rsidRPr="00701EFD">
        <w:rPr>
          <w:rFonts w:asciiTheme="minorHAnsi" w:hAnsiTheme="minorHAnsi" w:cstheme="minorBidi"/>
          <w:color w:val="auto"/>
          <w:sz w:val="20"/>
          <w:szCs w:val="22"/>
          <w:lang w:val="en-US"/>
        </w:rPr>
        <w:t xml:space="preserve">and research, and vice versa. </w:t>
      </w:r>
      <w:r w:rsidR="0045516F" w:rsidRPr="00701EFD">
        <w:rPr>
          <w:rFonts w:asciiTheme="minorHAnsi" w:hAnsiTheme="minorHAnsi" w:cstheme="minorBidi"/>
          <w:color w:val="auto"/>
          <w:sz w:val="20"/>
          <w:szCs w:val="22"/>
          <w:lang w:val="en-US"/>
        </w:rPr>
        <w:t xml:space="preserve">Together these projects reflect the multi-dimensional approach that DCAF uses in supporting </w:t>
      </w:r>
      <w:r w:rsidRPr="00701EFD">
        <w:rPr>
          <w:rFonts w:asciiTheme="minorHAnsi" w:hAnsiTheme="minorHAnsi" w:cstheme="minorBidi"/>
          <w:color w:val="auto"/>
          <w:sz w:val="20"/>
          <w:szCs w:val="22"/>
          <w:lang w:val="en-US"/>
        </w:rPr>
        <w:t>SSG</w:t>
      </w:r>
      <w:r w:rsidR="000A01E4" w:rsidRPr="00701EFD">
        <w:rPr>
          <w:rFonts w:asciiTheme="minorHAnsi" w:hAnsiTheme="minorHAnsi" w:cstheme="minorBidi"/>
          <w:color w:val="auto"/>
          <w:sz w:val="20"/>
          <w:szCs w:val="22"/>
          <w:lang w:val="en-US"/>
        </w:rPr>
        <w:t>,</w:t>
      </w:r>
      <w:r w:rsidR="00E8506A" w:rsidRPr="00701EFD">
        <w:rPr>
          <w:rFonts w:asciiTheme="minorHAnsi" w:hAnsiTheme="minorHAnsi" w:cstheme="minorBidi"/>
          <w:color w:val="auto"/>
          <w:sz w:val="20"/>
          <w:szCs w:val="22"/>
          <w:lang w:val="en-US"/>
        </w:rPr>
        <w:t xml:space="preserve"> and</w:t>
      </w:r>
      <w:r w:rsidRPr="00701EFD">
        <w:rPr>
          <w:rFonts w:asciiTheme="minorHAnsi" w:hAnsiTheme="minorHAnsi" w:cstheme="minorBidi"/>
          <w:color w:val="auto"/>
          <w:sz w:val="20"/>
          <w:szCs w:val="22"/>
          <w:lang w:val="en-US"/>
        </w:rPr>
        <w:t xml:space="preserve"> </w:t>
      </w:r>
      <w:r w:rsidR="00E8506A" w:rsidRPr="00701EFD">
        <w:rPr>
          <w:rFonts w:asciiTheme="minorHAnsi" w:hAnsiTheme="minorHAnsi" w:cstheme="minorBidi"/>
          <w:color w:val="auto"/>
          <w:sz w:val="20"/>
          <w:szCs w:val="22"/>
          <w:lang w:val="en-US"/>
        </w:rPr>
        <w:t xml:space="preserve">the </w:t>
      </w:r>
      <w:r w:rsidR="00E8506A" w:rsidRPr="00701EFD">
        <w:rPr>
          <w:rFonts w:asciiTheme="minorHAnsi" w:hAnsiTheme="minorHAnsi" w:cstheme="minorBidi"/>
          <w:color w:val="auto"/>
          <w:sz w:val="20"/>
          <w:szCs w:val="22"/>
          <w:lang w:val="en-US"/>
        </w:rPr>
        <w:lastRenderedPageBreak/>
        <w:t>chosen selection aims to</w:t>
      </w:r>
      <w:r w:rsidR="007B4B53" w:rsidRPr="00701EFD">
        <w:rPr>
          <w:rFonts w:asciiTheme="minorHAnsi" w:hAnsiTheme="minorHAnsi" w:cstheme="minorBidi"/>
          <w:color w:val="auto"/>
          <w:sz w:val="20"/>
          <w:szCs w:val="22"/>
          <w:lang w:val="en-US"/>
        </w:rPr>
        <w:t xml:space="preserve"> derive lessons from </w:t>
      </w:r>
      <w:r w:rsidR="0061227E" w:rsidRPr="00701EFD">
        <w:rPr>
          <w:rFonts w:asciiTheme="minorHAnsi" w:hAnsiTheme="minorHAnsi" w:cstheme="minorBidi"/>
          <w:color w:val="auto"/>
          <w:sz w:val="20"/>
          <w:szCs w:val="22"/>
          <w:lang w:val="en-US"/>
        </w:rPr>
        <w:t>an all-of-</w:t>
      </w:r>
      <w:r w:rsidR="006F439B" w:rsidRPr="00701EFD">
        <w:rPr>
          <w:rFonts w:asciiTheme="minorHAnsi" w:hAnsiTheme="minorHAnsi" w:cstheme="minorBidi"/>
          <w:color w:val="auto"/>
          <w:sz w:val="20"/>
          <w:szCs w:val="22"/>
          <w:lang w:val="en-US"/>
        </w:rPr>
        <w:t>DCAF</w:t>
      </w:r>
      <w:r w:rsidR="007B4B53" w:rsidRPr="00701EFD">
        <w:rPr>
          <w:rFonts w:asciiTheme="minorHAnsi" w:hAnsiTheme="minorHAnsi" w:cstheme="minorBidi"/>
          <w:color w:val="auto"/>
          <w:sz w:val="20"/>
          <w:szCs w:val="22"/>
          <w:lang w:val="en-US"/>
        </w:rPr>
        <w:t xml:space="preserve"> experience working with </w:t>
      </w:r>
      <w:r w:rsidRPr="00701EFD">
        <w:rPr>
          <w:rFonts w:asciiTheme="minorHAnsi" w:hAnsiTheme="minorHAnsi" w:cstheme="minorBidi"/>
          <w:color w:val="auto"/>
          <w:sz w:val="20"/>
          <w:szCs w:val="22"/>
          <w:lang w:val="en-US"/>
        </w:rPr>
        <w:t xml:space="preserve">external </w:t>
      </w:r>
      <w:r w:rsidR="007B4B53" w:rsidRPr="00701EFD">
        <w:rPr>
          <w:rFonts w:asciiTheme="minorHAnsi" w:hAnsiTheme="minorHAnsi" w:cstheme="minorBidi"/>
          <w:color w:val="auto"/>
          <w:sz w:val="20"/>
          <w:szCs w:val="22"/>
          <w:lang w:val="en-US"/>
        </w:rPr>
        <w:t>oversight actors</w:t>
      </w:r>
      <w:r w:rsidR="0045516F" w:rsidRPr="00701EFD">
        <w:rPr>
          <w:rFonts w:asciiTheme="minorHAnsi" w:hAnsiTheme="minorHAnsi" w:cstheme="minorBidi"/>
          <w:color w:val="auto"/>
          <w:sz w:val="20"/>
          <w:szCs w:val="22"/>
          <w:lang w:val="en-US"/>
        </w:rPr>
        <w:t xml:space="preserve">. </w:t>
      </w:r>
    </w:p>
    <w:p w14:paraId="74683DDB" w14:textId="77777777" w:rsidR="0036560D" w:rsidRPr="00701EFD" w:rsidRDefault="0036560D" w:rsidP="00DB6D20">
      <w:pPr>
        <w:pStyle w:val="Default"/>
        <w:jc w:val="both"/>
        <w:rPr>
          <w:rFonts w:asciiTheme="minorHAnsi" w:hAnsiTheme="minorHAnsi" w:cstheme="minorBidi"/>
          <w:color w:val="auto"/>
          <w:sz w:val="20"/>
          <w:szCs w:val="22"/>
          <w:lang w:val="en-US"/>
        </w:rPr>
      </w:pPr>
    </w:p>
    <w:p w14:paraId="13CA52F1" w14:textId="2FC88AF4" w:rsidR="00147F90" w:rsidRPr="00701EFD" w:rsidRDefault="00147F90" w:rsidP="00DB6D20">
      <w:pPr>
        <w:spacing w:before="0" w:after="0"/>
        <w:jc w:val="both"/>
        <w:rPr>
          <w:b/>
          <w:bCs/>
          <w:sz w:val="32"/>
          <w:szCs w:val="32"/>
          <w:lang w:val="en-US"/>
        </w:rPr>
      </w:pPr>
      <w:r w:rsidRPr="00701EFD">
        <w:rPr>
          <w:b/>
          <w:bCs/>
          <w:sz w:val="32"/>
          <w:szCs w:val="32"/>
          <w:lang w:val="en-US"/>
        </w:rPr>
        <w:t>5. Methodology</w:t>
      </w:r>
    </w:p>
    <w:p w14:paraId="7F677892" w14:textId="77777777" w:rsidR="00B37943" w:rsidRPr="00701EFD" w:rsidRDefault="00B37943" w:rsidP="00DB6D20">
      <w:pPr>
        <w:pStyle w:val="Default"/>
        <w:jc w:val="both"/>
        <w:rPr>
          <w:rFonts w:asciiTheme="minorHAnsi" w:hAnsiTheme="minorHAnsi" w:cs="Calibri"/>
          <w:sz w:val="22"/>
          <w:szCs w:val="22"/>
          <w:lang w:val="en-US"/>
        </w:rPr>
      </w:pPr>
    </w:p>
    <w:p w14:paraId="276989CB" w14:textId="4A5CD09D" w:rsidR="00B50A9C" w:rsidRPr="00701EFD" w:rsidRDefault="009201B7" w:rsidP="00DB6D20">
      <w:pPr>
        <w:pStyle w:val="Default"/>
        <w:jc w:val="both"/>
        <w:rPr>
          <w:rFonts w:asciiTheme="minorHAnsi" w:hAnsiTheme="minorHAnsi" w:cstheme="minorBidi"/>
          <w:color w:val="auto"/>
          <w:sz w:val="20"/>
          <w:szCs w:val="22"/>
          <w:lang w:val="en-US"/>
        </w:rPr>
      </w:pPr>
      <w:r w:rsidRPr="00701EFD">
        <w:rPr>
          <w:rFonts w:asciiTheme="minorHAnsi" w:hAnsiTheme="minorHAnsi" w:cstheme="minorBidi"/>
          <w:color w:val="auto"/>
          <w:sz w:val="20"/>
          <w:szCs w:val="22"/>
          <w:lang w:val="en-US"/>
        </w:rPr>
        <w:t xml:space="preserve">The TE report must provide evidence-based information that is credible, </w:t>
      </w:r>
      <w:r w:rsidR="00E8506A" w:rsidRPr="00701EFD">
        <w:rPr>
          <w:rFonts w:asciiTheme="minorHAnsi" w:hAnsiTheme="minorHAnsi" w:cstheme="minorBidi"/>
          <w:color w:val="auto"/>
          <w:sz w:val="20"/>
          <w:szCs w:val="22"/>
          <w:lang w:val="en-US"/>
        </w:rPr>
        <w:t>reliable,</w:t>
      </w:r>
      <w:r w:rsidRPr="00701EFD">
        <w:rPr>
          <w:rFonts w:asciiTheme="minorHAnsi" w:hAnsiTheme="minorHAnsi" w:cstheme="minorBidi"/>
          <w:color w:val="auto"/>
          <w:sz w:val="20"/>
          <w:szCs w:val="22"/>
          <w:lang w:val="en-US"/>
        </w:rPr>
        <w:t xml:space="preserve"> and useful.</w:t>
      </w:r>
      <w:r w:rsidR="002259DE" w:rsidRPr="00701EFD">
        <w:rPr>
          <w:rFonts w:asciiTheme="minorHAnsi" w:hAnsiTheme="minorHAnsi" w:cstheme="minorBidi"/>
          <w:color w:val="auto"/>
          <w:sz w:val="20"/>
          <w:szCs w:val="22"/>
          <w:lang w:val="en-US"/>
        </w:rPr>
        <w:t xml:space="preserve"> The </w:t>
      </w:r>
      <w:r w:rsidR="00283A46" w:rsidRPr="00701EFD">
        <w:rPr>
          <w:rFonts w:asciiTheme="minorHAnsi" w:hAnsiTheme="minorHAnsi" w:cstheme="minorBidi"/>
          <w:color w:val="auto"/>
          <w:sz w:val="20"/>
          <w:szCs w:val="22"/>
          <w:lang w:val="en-US"/>
        </w:rPr>
        <w:t>evaluators</w:t>
      </w:r>
      <w:r w:rsidR="00774906" w:rsidRPr="00701EFD">
        <w:rPr>
          <w:rFonts w:asciiTheme="minorHAnsi" w:hAnsiTheme="minorHAnsi" w:cstheme="minorBidi"/>
          <w:color w:val="auto"/>
          <w:sz w:val="20"/>
          <w:szCs w:val="22"/>
          <w:lang w:val="en-US"/>
        </w:rPr>
        <w:t xml:space="preserve"> </w:t>
      </w:r>
      <w:r w:rsidR="005C51BD" w:rsidRPr="00701EFD">
        <w:rPr>
          <w:rFonts w:asciiTheme="minorHAnsi" w:hAnsiTheme="minorHAnsi" w:cstheme="minorBidi"/>
          <w:color w:val="auto"/>
          <w:sz w:val="20"/>
          <w:szCs w:val="22"/>
          <w:lang w:val="en-US"/>
        </w:rPr>
        <w:t>are</w:t>
      </w:r>
      <w:r w:rsidR="002259DE" w:rsidRPr="00701EFD">
        <w:rPr>
          <w:rFonts w:asciiTheme="minorHAnsi" w:hAnsiTheme="minorHAnsi" w:cstheme="minorBidi"/>
          <w:color w:val="auto"/>
          <w:sz w:val="20"/>
          <w:szCs w:val="22"/>
          <w:lang w:val="en-US"/>
        </w:rPr>
        <w:t xml:space="preserve"> expected to follow a participatory and consultative approach ensuring close engagement with the Project Teams, government counterparts, Implementing Partners, Field Offices, direct beneficiaries, donors, and other stakeholders</w:t>
      </w:r>
      <w:r w:rsidR="00B50A9C" w:rsidRPr="00701EFD">
        <w:rPr>
          <w:rFonts w:asciiTheme="minorHAnsi" w:hAnsiTheme="minorHAnsi" w:cstheme="minorBidi"/>
          <w:color w:val="auto"/>
          <w:sz w:val="20"/>
          <w:szCs w:val="22"/>
          <w:lang w:val="en-US"/>
        </w:rPr>
        <w:t xml:space="preserve">. </w:t>
      </w:r>
    </w:p>
    <w:p w14:paraId="7DB788AB" w14:textId="77777777" w:rsidR="009201B7" w:rsidRPr="00701EFD" w:rsidRDefault="009201B7" w:rsidP="00DB6D20">
      <w:pPr>
        <w:spacing w:before="0" w:after="0"/>
        <w:jc w:val="both"/>
        <w:rPr>
          <w:lang w:val="en-US"/>
        </w:rPr>
      </w:pPr>
    </w:p>
    <w:p w14:paraId="6956E16E" w14:textId="20F03088" w:rsidR="00163933" w:rsidRPr="00701EFD" w:rsidRDefault="00163933" w:rsidP="00DB6D20">
      <w:pPr>
        <w:spacing w:before="0" w:after="0"/>
        <w:jc w:val="both"/>
        <w:rPr>
          <w:lang w:val="en-US"/>
        </w:rPr>
      </w:pPr>
      <w:r w:rsidRPr="00701EFD">
        <w:rPr>
          <w:lang w:val="en-US"/>
        </w:rPr>
        <w:t xml:space="preserve">In thematic evaluations that cover multiple interventions, there will not be a logical framework </w:t>
      </w:r>
      <w:r w:rsidR="00581FF8" w:rsidRPr="00701EFD">
        <w:rPr>
          <w:lang w:val="en-US"/>
        </w:rPr>
        <w:t>(</w:t>
      </w:r>
      <w:proofErr w:type="spellStart"/>
      <w:r w:rsidR="00581FF8" w:rsidRPr="00701EFD">
        <w:rPr>
          <w:lang w:val="en-US"/>
        </w:rPr>
        <w:t>logframe</w:t>
      </w:r>
      <w:proofErr w:type="spellEnd"/>
      <w:r w:rsidR="00581FF8" w:rsidRPr="00701EFD">
        <w:rPr>
          <w:lang w:val="en-US"/>
        </w:rPr>
        <w:t xml:space="preserve">) </w:t>
      </w:r>
      <w:r w:rsidRPr="00701EFD">
        <w:rPr>
          <w:lang w:val="en-US"/>
        </w:rPr>
        <w:t xml:space="preserve">available to draw upon. Therefore, the evaluation will </w:t>
      </w:r>
      <w:r w:rsidR="0097211C" w:rsidRPr="00701EFD">
        <w:rPr>
          <w:lang w:val="en-US"/>
        </w:rPr>
        <w:t>need</w:t>
      </w:r>
      <w:r w:rsidRPr="00701EFD">
        <w:rPr>
          <w:lang w:val="en-US"/>
        </w:rPr>
        <w:t xml:space="preserve"> </w:t>
      </w:r>
      <w:r w:rsidR="00A44DFB" w:rsidRPr="00701EFD">
        <w:rPr>
          <w:lang w:val="en-US"/>
        </w:rPr>
        <w:t>to explore</w:t>
      </w:r>
      <w:r w:rsidRPr="00701EFD">
        <w:rPr>
          <w:lang w:val="en-US"/>
        </w:rPr>
        <w:t xml:space="preserve"> </w:t>
      </w:r>
      <w:r w:rsidR="00A44DFB" w:rsidRPr="00701EFD">
        <w:rPr>
          <w:lang w:val="en-US"/>
        </w:rPr>
        <w:t xml:space="preserve">what general </w:t>
      </w:r>
      <w:r w:rsidR="00625DAD" w:rsidRPr="00701EFD">
        <w:rPr>
          <w:lang w:val="en-US"/>
        </w:rPr>
        <w:t xml:space="preserve">causal pathways and assumptions </w:t>
      </w:r>
      <w:r w:rsidR="00A44DFB" w:rsidRPr="00701EFD">
        <w:rPr>
          <w:lang w:val="en-US"/>
        </w:rPr>
        <w:t xml:space="preserve">are </w:t>
      </w:r>
      <w:r w:rsidR="00625DAD" w:rsidRPr="00701EFD">
        <w:rPr>
          <w:lang w:val="en-US"/>
        </w:rPr>
        <w:t xml:space="preserve">implied </w:t>
      </w:r>
      <w:r w:rsidR="0097211C" w:rsidRPr="00701EFD">
        <w:rPr>
          <w:lang w:val="en-US"/>
        </w:rPr>
        <w:t>in</w:t>
      </w:r>
      <w:r w:rsidR="00625DAD" w:rsidRPr="00701EFD">
        <w:rPr>
          <w:lang w:val="en-US"/>
        </w:rPr>
        <w:t xml:space="preserve"> projects</w:t>
      </w:r>
      <w:r w:rsidR="00A44DFB" w:rsidRPr="00701EFD">
        <w:rPr>
          <w:lang w:val="en-US"/>
        </w:rPr>
        <w:t>,</w:t>
      </w:r>
      <w:r w:rsidR="00625DAD" w:rsidRPr="00701EFD">
        <w:rPr>
          <w:lang w:val="en-US"/>
        </w:rPr>
        <w:t xml:space="preserve"> </w:t>
      </w:r>
      <w:r w:rsidR="00A44DFB" w:rsidRPr="00701EFD">
        <w:rPr>
          <w:lang w:val="en-US"/>
        </w:rPr>
        <w:t xml:space="preserve">and </w:t>
      </w:r>
      <w:r w:rsidR="0097211C" w:rsidRPr="00701EFD">
        <w:rPr>
          <w:lang w:val="en-US"/>
        </w:rPr>
        <w:t>whether</w:t>
      </w:r>
      <w:r w:rsidR="00A44DFB" w:rsidRPr="00701EFD">
        <w:rPr>
          <w:lang w:val="en-US"/>
        </w:rPr>
        <w:t xml:space="preserve"> there are commonalities between the intervention logics and the </w:t>
      </w:r>
      <w:r w:rsidR="0097211C" w:rsidRPr="00701EFD">
        <w:rPr>
          <w:lang w:val="en-US"/>
        </w:rPr>
        <w:t xml:space="preserve">underlying </w:t>
      </w:r>
      <w:r w:rsidR="00A44DFB" w:rsidRPr="00701EFD">
        <w:rPr>
          <w:lang w:val="en-US"/>
        </w:rPr>
        <w:t xml:space="preserve">assumptions on how change takes place. </w:t>
      </w:r>
      <w:r w:rsidR="00625DAD" w:rsidRPr="00701EFD">
        <w:rPr>
          <w:lang w:val="en-US"/>
        </w:rPr>
        <w:t>This will require review of project design documentation, and discussion with staff and partners involved in design and implementation.</w:t>
      </w:r>
    </w:p>
    <w:p w14:paraId="691D0C00" w14:textId="77777777" w:rsidR="00163933" w:rsidRPr="00701EFD" w:rsidRDefault="00163933" w:rsidP="00DB6D20">
      <w:pPr>
        <w:spacing w:before="0" w:after="0"/>
        <w:jc w:val="both"/>
        <w:rPr>
          <w:lang w:val="en-US"/>
        </w:rPr>
      </w:pPr>
    </w:p>
    <w:p w14:paraId="6570F338" w14:textId="0030048F" w:rsidR="00147F90" w:rsidRPr="00701EFD" w:rsidRDefault="00163933" w:rsidP="00DB6D20">
      <w:pPr>
        <w:spacing w:before="0" w:after="0"/>
        <w:jc w:val="both"/>
        <w:rPr>
          <w:lang w:val="en-US"/>
        </w:rPr>
      </w:pPr>
      <w:r w:rsidRPr="00701EFD">
        <w:rPr>
          <w:lang w:val="en-US"/>
        </w:rPr>
        <w:t xml:space="preserve">The evaluation </w:t>
      </w:r>
      <w:r w:rsidR="00152A52" w:rsidRPr="00701EFD">
        <w:rPr>
          <w:lang w:val="en-US"/>
        </w:rPr>
        <w:t xml:space="preserve">needs to </w:t>
      </w:r>
      <w:r w:rsidRPr="00701EFD">
        <w:rPr>
          <w:lang w:val="en-US"/>
        </w:rPr>
        <w:t xml:space="preserve">combine various data collection and analysis methods that allow gathering quantitative and qualitative evidence to inform the </w:t>
      </w:r>
      <w:r w:rsidR="004232E7" w:rsidRPr="00701EFD">
        <w:rPr>
          <w:lang w:val="en-US"/>
        </w:rPr>
        <w:t xml:space="preserve">findings, </w:t>
      </w:r>
      <w:r w:rsidRPr="00701EFD">
        <w:rPr>
          <w:lang w:val="en-US"/>
        </w:rPr>
        <w:t>conclusions</w:t>
      </w:r>
      <w:r w:rsidR="004232E7" w:rsidRPr="00701EFD">
        <w:rPr>
          <w:lang w:val="en-US"/>
        </w:rPr>
        <w:t xml:space="preserve">, </w:t>
      </w:r>
      <w:r w:rsidR="005C51BD" w:rsidRPr="00701EFD">
        <w:rPr>
          <w:lang w:val="en-US"/>
        </w:rPr>
        <w:t>recommendations,</w:t>
      </w:r>
      <w:r w:rsidR="004232E7" w:rsidRPr="00701EFD">
        <w:rPr>
          <w:lang w:val="en-US"/>
        </w:rPr>
        <w:t xml:space="preserve"> and lessons learned</w:t>
      </w:r>
      <w:r w:rsidRPr="00701EFD">
        <w:rPr>
          <w:lang w:val="en-US"/>
        </w:rPr>
        <w:t xml:space="preserve"> drawn from the exercise. Methods include document reviews, meta-analysis of previous (mid-term and terminal) evaluations or reviews, </w:t>
      </w:r>
      <w:r w:rsidR="00E8506A" w:rsidRPr="00701EFD">
        <w:rPr>
          <w:lang w:val="en-US"/>
        </w:rPr>
        <w:t xml:space="preserve">thematic, </w:t>
      </w:r>
      <w:r w:rsidRPr="00701EFD">
        <w:rPr>
          <w:lang w:val="en-US"/>
        </w:rPr>
        <w:t>regional and</w:t>
      </w:r>
      <w:r w:rsidR="00E8506A" w:rsidRPr="00701EFD">
        <w:rPr>
          <w:lang w:val="en-US"/>
        </w:rPr>
        <w:t>/ or</w:t>
      </w:r>
      <w:r w:rsidRPr="00701EFD">
        <w:rPr>
          <w:lang w:val="en-US"/>
        </w:rPr>
        <w:t xml:space="preserve"> country case studies, </w:t>
      </w:r>
      <w:r w:rsidR="007D1D2D" w:rsidRPr="00701EFD">
        <w:rPr>
          <w:lang w:val="en-US"/>
        </w:rPr>
        <w:t xml:space="preserve">and </w:t>
      </w:r>
      <w:r w:rsidRPr="00701EFD">
        <w:rPr>
          <w:lang w:val="en-US"/>
        </w:rPr>
        <w:t>interviews</w:t>
      </w:r>
      <w:r w:rsidR="00E8506A" w:rsidRPr="00701EFD">
        <w:rPr>
          <w:lang w:val="en-US"/>
        </w:rPr>
        <w:t>.</w:t>
      </w:r>
      <w:r w:rsidRPr="00701EFD">
        <w:rPr>
          <w:lang w:val="en-US"/>
        </w:rPr>
        <w:t xml:space="preserve"> </w:t>
      </w:r>
    </w:p>
    <w:p w14:paraId="17885CDD" w14:textId="77777777" w:rsidR="00163933" w:rsidRPr="00701EFD" w:rsidRDefault="00163933" w:rsidP="00DB6D20">
      <w:pPr>
        <w:autoSpaceDE w:val="0"/>
        <w:autoSpaceDN w:val="0"/>
        <w:adjustRightInd w:val="0"/>
        <w:spacing w:before="0" w:after="0"/>
        <w:jc w:val="both"/>
        <w:rPr>
          <w:lang w:val="en-US"/>
        </w:rPr>
      </w:pPr>
    </w:p>
    <w:p w14:paraId="6F60EE60" w14:textId="3BED9A2E" w:rsidR="0061227E" w:rsidRPr="00701EFD" w:rsidRDefault="00625DAD" w:rsidP="00DB6D20">
      <w:pPr>
        <w:autoSpaceDE w:val="0"/>
        <w:autoSpaceDN w:val="0"/>
        <w:adjustRightInd w:val="0"/>
        <w:spacing w:before="0" w:after="0"/>
        <w:jc w:val="both"/>
        <w:rPr>
          <w:lang w:val="en-US"/>
        </w:rPr>
      </w:pPr>
      <w:r w:rsidRPr="00701EFD">
        <w:rPr>
          <w:lang w:val="en-US"/>
        </w:rPr>
        <w:t>The d</w:t>
      </w:r>
      <w:r w:rsidR="0061227E" w:rsidRPr="00701EFD">
        <w:rPr>
          <w:lang w:val="en-US"/>
        </w:rPr>
        <w:t xml:space="preserve">esk review </w:t>
      </w:r>
      <w:r w:rsidRPr="00701EFD">
        <w:rPr>
          <w:lang w:val="en-US"/>
        </w:rPr>
        <w:t>of</w:t>
      </w:r>
      <w:r w:rsidR="0061227E" w:rsidRPr="00701EFD">
        <w:rPr>
          <w:lang w:val="en-US"/>
        </w:rPr>
        <w:t xml:space="preserve"> secondary project documentation</w:t>
      </w:r>
      <w:r w:rsidRPr="00701EFD">
        <w:rPr>
          <w:lang w:val="en-US"/>
        </w:rPr>
        <w:t xml:space="preserve"> </w:t>
      </w:r>
      <w:r w:rsidR="00581FF8" w:rsidRPr="00701EFD">
        <w:rPr>
          <w:lang w:val="en-US"/>
        </w:rPr>
        <w:t>includes but is not limited to</w:t>
      </w:r>
      <w:r w:rsidR="00163933" w:rsidRPr="00701EFD">
        <w:rPr>
          <w:lang w:val="en-US"/>
        </w:rPr>
        <w:t xml:space="preserve"> project documents, concept papers, </w:t>
      </w:r>
      <w:proofErr w:type="spellStart"/>
      <w:r w:rsidR="00581FF8" w:rsidRPr="00701EFD">
        <w:rPr>
          <w:lang w:val="en-US"/>
        </w:rPr>
        <w:t>logframes</w:t>
      </w:r>
      <w:proofErr w:type="spellEnd"/>
      <w:r w:rsidR="0061227E" w:rsidRPr="00701EFD">
        <w:rPr>
          <w:lang w:val="en-US"/>
        </w:rPr>
        <w:t xml:space="preserve">, </w:t>
      </w:r>
      <w:proofErr w:type="spellStart"/>
      <w:r w:rsidR="00581FF8" w:rsidRPr="00701EFD">
        <w:rPr>
          <w:lang w:val="en-US"/>
        </w:rPr>
        <w:t>ToCs</w:t>
      </w:r>
      <w:proofErr w:type="spellEnd"/>
      <w:r w:rsidR="0061227E" w:rsidRPr="00701EFD">
        <w:rPr>
          <w:lang w:val="en-US"/>
        </w:rPr>
        <w:t>, Terms of References</w:t>
      </w:r>
      <w:r w:rsidR="005E3FA0" w:rsidRPr="00701EFD">
        <w:rPr>
          <w:lang w:val="en-US"/>
        </w:rPr>
        <w:t xml:space="preserve"> (</w:t>
      </w:r>
      <w:proofErr w:type="spellStart"/>
      <w:r w:rsidR="005E3FA0" w:rsidRPr="00701EFD">
        <w:rPr>
          <w:lang w:val="en-US"/>
        </w:rPr>
        <w:t>ToR</w:t>
      </w:r>
      <w:proofErr w:type="spellEnd"/>
      <w:r w:rsidR="005E3FA0" w:rsidRPr="00701EFD">
        <w:rPr>
          <w:lang w:val="en-US"/>
        </w:rPr>
        <w:t>)</w:t>
      </w:r>
      <w:r w:rsidR="0061227E" w:rsidRPr="00701EFD">
        <w:rPr>
          <w:lang w:val="en-US"/>
        </w:rPr>
        <w:t xml:space="preserve">, narrative internal and external reporting, </w:t>
      </w:r>
      <w:proofErr w:type="spellStart"/>
      <w:r w:rsidR="0061227E" w:rsidRPr="00701EFD">
        <w:rPr>
          <w:lang w:val="en-US"/>
        </w:rPr>
        <w:t>MoUs</w:t>
      </w:r>
      <w:proofErr w:type="spellEnd"/>
      <w:r w:rsidR="0061227E" w:rsidRPr="00701EFD">
        <w:rPr>
          <w:lang w:val="en-US"/>
        </w:rPr>
        <w:t xml:space="preserve"> with partners, media reports, press statement</w:t>
      </w:r>
      <w:r w:rsidR="00581FF8" w:rsidRPr="00701EFD">
        <w:rPr>
          <w:lang w:val="en-US"/>
        </w:rPr>
        <w:t xml:space="preserve">s, and project outputs </w:t>
      </w:r>
      <w:r w:rsidR="005C51BD" w:rsidRPr="00701EFD">
        <w:rPr>
          <w:lang w:val="en-US"/>
        </w:rPr>
        <w:t>e.g.</w:t>
      </w:r>
      <w:r w:rsidR="00581FF8" w:rsidRPr="00701EFD">
        <w:rPr>
          <w:lang w:val="en-US"/>
        </w:rPr>
        <w:t xml:space="preserve"> Knowledge Products.</w:t>
      </w:r>
    </w:p>
    <w:p w14:paraId="5B8FFAA4" w14:textId="77777777" w:rsidR="00163933" w:rsidRPr="00701EFD" w:rsidRDefault="00163933" w:rsidP="00DB6D20">
      <w:pPr>
        <w:autoSpaceDE w:val="0"/>
        <w:autoSpaceDN w:val="0"/>
        <w:adjustRightInd w:val="0"/>
        <w:spacing w:before="0" w:after="0"/>
        <w:jc w:val="both"/>
        <w:rPr>
          <w:lang w:val="en-US"/>
        </w:rPr>
      </w:pPr>
    </w:p>
    <w:p w14:paraId="4AA64CA4" w14:textId="0B0B6073" w:rsidR="0061227E" w:rsidRPr="00701EFD" w:rsidRDefault="00E8506A" w:rsidP="00DB6D20">
      <w:pPr>
        <w:autoSpaceDE w:val="0"/>
        <w:autoSpaceDN w:val="0"/>
        <w:adjustRightInd w:val="0"/>
        <w:spacing w:before="0" w:after="0"/>
        <w:jc w:val="both"/>
        <w:rPr>
          <w:lang w:val="en-US"/>
        </w:rPr>
      </w:pPr>
      <w:r w:rsidRPr="00701EFD">
        <w:rPr>
          <w:lang w:val="en-US"/>
        </w:rPr>
        <w:t>To ensure triangulation of information, p</w:t>
      </w:r>
      <w:r w:rsidR="00625DAD" w:rsidRPr="00701EFD">
        <w:rPr>
          <w:lang w:val="en-US"/>
        </w:rPr>
        <w:t xml:space="preserve">rimary data needs to be collected directly by the </w:t>
      </w:r>
      <w:r w:rsidR="00283A46" w:rsidRPr="00701EFD">
        <w:rPr>
          <w:lang w:val="en-US"/>
        </w:rPr>
        <w:t>evaluators</w:t>
      </w:r>
      <w:r w:rsidR="004232E7" w:rsidRPr="00701EFD">
        <w:rPr>
          <w:lang w:val="en-US"/>
        </w:rPr>
        <w:t xml:space="preserve"> </w:t>
      </w:r>
      <w:r w:rsidR="00152A52" w:rsidRPr="00701EFD">
        <w:rPr>
          <w:lang w:val="en-US"/>
        </w:rPr>
        <w:t>through</w:t>
      </w:r>
      <w:r w:rsidR="00625DAD" w:rsidRPr="00701EFD">
        <w:rPr>
          <w:lang w:val="en-US"/>
        </w:rPr>
        <w:t xml:space="preserve"> </w:t>
      </w:r>
      <w:r w:rsidR="00581FF8" w:rsidRPr="00701EFD">
        <w:rPr>
          <w:lang w:val="en-US"/>
        </w:rPr>
        <w:t xml:space="preserve">written correspondence and </w:t>
      </w:r>
      <w:r w:rsidR="00152A52" w:rsidRPr="00701EFD">
        <w:rPr>
          <w:lang w:val="en-US"/>
        </w:rPr>
        <w:t>i</w:t>
      </w:r>
      <w:r w:rsidR="0061227E" w:rsidRPr="00701EFD">
        <w:rPr>
          <w:lang w:val="en-US"/>
        </w:rPr>
        <w:t>nterviews</w:t>
      </w:r>
      <w:r w:rsidR="00152A52" w:rsidRPr="00701EFD">
        <w:rPr>
          <w:lang w:val="en-US"/>
        </w:rPr>
        <w:t>. Interviews</w:t>
      </w:r>
      <w:r w:rsidR="0061227E" w:rsidRPr="00701EFD">
        <w:rPr>
          <w:lang w:val="en-US"/>
        </w:rPr>
        <w:t xml:space="preserve"> </w:t>
      </w:r>
      <w:r w:rsidR="00163933" w:rsidRPr="00701EFD">
        <w:rPr>
          <w:lang w:val="en-US"/>
        </w:rPr>
        <w:t>should be conducted virtually with</w:t>
      </w:r>
      <w:r w:rsidR="0061227E" w:rsidRPr="00701EFD">
        <w:rPr>
          <w:lang w:val="en-US"/>
        </w:rPr>
        <w:t xml:space="preserve"> key stakeholder groups</w:t>
      </w:r>
      <w:r w:rsidR="00152A52" w:rsidRPr="00701EFD">
        <w:rPr>
          <w:lang w:val="en-US"/>
        </w:rPr>
        <w:t xml:space="preserve"> for each selected project</w:t>
      </w:r>
      <w:r w:rsidR="0061227E" w:rsidRPr="00701EFD">
        <w:rPr>
          <w:lang w:val="en-US"/>
        </w:rPr>
        <w:t>, including DCA</w:t>
      </w:r>
      <w:r w:rsidR="00CE4D15" w:rsidRPr="00701EFD">
        <w:rPr>
          <w:lang w:val="en-US"/>
        </w:rPr>
        <w:t>F</w:t>
      </w:r>
      <w:r w:rsidR="0061227E" w:rsidRPr="00701EFD">
        <w:rPr>
          <w:lang w:val="en-US"/>
        </w:rPr>
        <w:t xml:space="preserve"> staff</w:t>
      </w:r>
      <w:r w:rsidR="00CE4D15" w:rsidRPr="00701EFD">
        <w:rPr>
          <w:lang w:val="en-US"/>
        </w:rPr>
        <w:t xml:space="preserve"> </w:t>
      </w:r>
      <w:r w:rsidR="0061227E" w:rsidRPr="00701EFD">
        <w:rPr>
          <w:lang w:val="en-US"/>
        </w:rPr>
        <w:t xml:space="preserve">in </w:t>
      </w:r>
      <w:r w:rsidR="00CE4D15" w:rsidRPr="00701EFD">
        <w:rPr>
          <w:lang w:val="en-US"/>
        </w:rPr>
        <w:t>H</w:t>
      </w:r>
      <w:r w:rsidR="0061227E" w:rsidRPr="00701EFD">
        <w:rPr>
          <w:lang w:val="en-US"/>
        </w:rPr>
        <w:t xml:space="preserve">eadquarter and Field </w:t>
      </w:r>
      <w:r w:rsidR="00CE4D15" w:rsidRPr="00701EFD">
        <w:rPr>
          <w:lang w:val="en-US"/>
        </w:rPr>
        <w:t>O</w:t>
      </w:r>
      <w:r w:rsidR="0061227E" w:rsidRPr="00701EFD">
        <w:rPr>
          <w:lang w:val="en-US"/>
        </w:rPr>
        <w:t xml:space="preserve">ffices, </w:t>
      </w:r>
      <w:r w:rsidR="00CE4D15" w:rsidRPr="00701EFD">
        <w:rPr>
          <w:lang w:val="en-US"/>
        </w:rPr>
        <w:t>implementing</w:t>
      </w:r>
      <w:r w:rsidR="0061227E" w:rsidRPr="00701EFD">
        <w:rPr>
          <w:lang w:val="en-US"/>
        </w:rPr>
        <w:t xml:space="preserve"> partners, beneficiaries, </w:t>
      </w:r>
      <w:r w:rsidR="00CE4D15" w:rsidRPr="00701EFD">
        <w:rPr>
          <w:lang w:val="en-US"/>
        </w:rPr>
        <w:t xml:space="preserve">relevant </w:t>
      </w:r>
      <w:r w:rsidR="0061227E" w:rsidRPr="00701EFD">
        <w:rPr>
          <w:lang w:val="en-US"/>
        </w:rPr>
        <w:t>interna</w:t>
      </w:r>
      <w:r w:rsidR="00CE4D15" w:rsidRPr="00701EFD">
        <w:rPr>
          <w:lang w:val="en-US"/>
        </w:rPr>
        <w:t>tional SSG/R actors, and donor representatives.</w:t>
      </w:r>
      <w:r w:rsidR="00625DAD" w:rsidRPr="00701EFD">
        <w:rPr>
          <w:lang w:val="en-US"/>
        </w:rPr>
        <w:t xml:space="preserve"> </w:t>
      </w:r>
      <w:r w:rsidR="00625DAD" w:rsidRPr="00701EFD">
        <w:rPr>
          <w:b/>
          <w:bCs/>
          <w:lang w:val="en-US"/>
        </w:rPr>
        <w:t>Travel is not foreseen.</w:t>
      </w:r>
      <w:r w:rsidR="00625DAD" w:rsidRPr="00701EFD">
        <w:rPr>
          <w:lang w:val="en-US"/>
        </w:rPr>
        <w:t xml:space="preserve"> </w:t>
      </w:r>
    </w:p>
    <w:p w14:paraId="78B5A68A" w14:textId="6BC2E1F5" w:rsidR="002259DE" w:rsidRPr="00701EFD" w:rsidRDefault="002259DE" w:rsidP="00DB6D20">
      <w:pPr>
        <w:autoSpaceDE w:val="0"/>
        <w:autoSpaceDN w:val="0"/>
        <w:adjustRightInd w:val="0"/>
        <w:spacing w:before="0" w:after="0"/>
        <w:jc w:val="both"/>
        <w:rPr>
          <w:lang w:val="en-US"/>
        </w:rPr>
      </w:pPr>
    </w:p>
    <w:p w14:paraId="6B19B585" w14:textId="1818F8FB" w:rsidR="00923087" w:rsidRPr="00701EFD" w:rsidRDefault="002259DE" w:rsidP="00923087">
      <w:pPr>
        <w:autoSpaceDE w:val="0"/>
        <w:autoSpaceDN w:val="0"/>
        <w:adjustRightInd w:val="0"/>
        <w:spacing w:before="0" w:after="0"/>
        <w:jc w:val="both"/>
        <w:rPr>
          <w:lang w:val="en-US"/>
        </w:rPr>
      </w:pPr>
      <w:r w:rsidRPr="00701EFD">
        <w:rPr>
          <w:lang w:val="en-US"/>
        </w:rPr>
        <w:t xml:space="preserve">The specific design and methodology for the thematic evaluation should emerge from consultations between the evaluators and the above-mentioned parties regarding what is appropriate and feasible for meeting the purpose and answering the evaluation questions, given limitations of budget, time and data. </w:t>
      </w:r>
      <w:r w:rsidR="00923087" w:rsidRPr="00701EFD">
        <w:rPr>
          <w:lang w:val="en-US"/>
        </w:rPr>
        <w:t>The final methodological approach must be clearly outlined in the Inception Report and be fully discussed and agreed between DCAF and the evaluators.</w:t>
      </w:r>
    </w:p>
    <w:p w14:paraId="7DFB5354" w14:textId="2DB8C211" w:rsidR="00283A46" w:rsidRPr="00701EFD" w:rsidRDefault="00283A46" w:rsidP="00923087">
      <w:pPr>
        <w:autoSpaceDE w:val="0"/>
        <w:autoSpaceDN w:val="0"/>
        <w:adjustRightInd w:val="0"/>
        <w:spacing w:before="0" w:after="0"/>
        <w:jc w:val="both"/>
        <w:rPr>
          <w:rFonts w:cs="Calibri"/>
          <w:sz w:val="22"/>
          <w:lang w:val="en-US"/>
        </w:rPr>
      </w:pPr>
    </w:p>
    <w:p w14:paraId="35CC96D0" w14:textId="77777777" w:rsidR="00670A47" w:rsidRPr="00701EFD" w:rsidRDefault="004232E7" w:rsidP="004232E7">
      <w:pPr>
        <w:pStyle w:val="Default"/>
        <w:jc w:val="both"/>
        <w:rPr>
          <w:rFonts w:asciiTheme="minorHAnsi" w:hAnsiTheme="minorHAnsi" w:cstheme="minorBidi"/>
          <w:color w:val="auto"/>
          <w:sz w:val="20"/>
          <w:szCs w:val="22"/>
          <w:lang w:val="en-US"/>
        </w:rPr>
      </w:pPr>
      <w:r w:rsidRPr="00701EFD">
        <w:rPr>
          <w:rFonts w:asciiTheme="minorHAnsi" w:hAnsiTheme="minorHAnsi" w:cstheme="minorBidi"/>
          <w:color w:val="auto"/>
          <w:sz w:val="20"/>
          <w:szCs w:val="22"/>
          <w:lang w:val="en-US"/>
        </w:rPr>
        <w:lastRenderedPageBreak/>
        <w:t>The evaluation will assess results according to the criteria and evaluation questions (see point 3) in a ‘findings’ section. The section on “conclusions” will be written considering the findings. Conclusions should be comprehensive and balanced statements that are well</w:t>
      </w:r>
      <w:r w:rsidRPr="00701EFD">
        <w:rPr>
          <w:rFonts w:asciiTheme="minorHAnsi" w:hAnsiTheme="minorHAnsi" w:cs="Calibri"/>
          <w:sz w:val="22"/>
          <w:szCs w:val="22"/>
          <w:lang w:val="en-US"/>
        </w:rPr>
        <w:t xml:space="preserve"> </w:t>
      </w:r>
      <w:r w:rsidRPr="00701EFD">
        <w:rPr>
          <w:rFonts w:asciiTheme="minorHAnsi" w:hAnsiTheme="minorHAnsi" w:cstheme="minorBidi"/>
          <w:color w:val="auto"/>
          <w:sz w:val="20"/>
          <w:szCs w:val="22"/>
          <w:lang w:val="en-US"/>
        </w:rPr>
        <w:t>substantiated</w:t>
      </w:r>
      <w:r w:rsidRPr="00701EFD">
        <w:rPr>
          <w:rFonts w:asciiTheme="minorHAnsi" w:hAnsiTheme="minorHAnsi" w:cs="Calibri"/>
          <w:sz w:val="22"/>
          <w:szCs w:val="22"/>
          <w:lang w:val="en-US"/>
        </w:rPr>
        <w:t xml:space="preserve"> </w:t>
      </w:r>
      <w:r w:rsidRPr="00701EFD">
        <w:rPr>
          <w:rFonts w:asciiTheme="minorHAnsi" w:hAnsiTheme="minorHAnsi" w:cstheme="minorBidi"/>
          <w:color w:val="auto"/>
          <w:sz w:val="20"/>
          <w:szCs w:val="22"/>
          <w:lang w:val="en-US"/>
        </w:rPr>
        <w:t>by</w:t>
      </w:r>
      <w:r w:rsidRPr="00701EFD">
        <w:rPr>
          <w:rFonts w:asciiTheme="minorHAnsi" w:hAnsiTheme="minorHAnsi" w:cs="Calibri"/>
          <w:sz w:val="22"/>
          <w:szCs w:val="22"/>
          <w:lang w:val="en-US"/>
        </w:rPr>
        <w:t xml:space="preserve"> </w:t>
      </w:r>
      <w:r w:rsidRPr="00701EFD">
        <w:rPr>
          <w:rFonts w:asciiTheme="minorHAnsi" w:hAnsiTheme="minorHAnsi" w:cstheme="minorBidi"/>
          <w:color w:val="auto"/>
          <w:sz w:val="20"/>
          <w:szCs w:val="22"/>
          <w:lang w:val="en-US"/>
        </w:rPr>
        <w:t>evidence</w:t>
      </w:r>
      <w:r w:rsidRPr="00701EFD">
        <w:rPr>
          <w:rFonts w:asciiTheme="minorHAnsi" w:hAnsiTheme="minorHAnsi" w:cs="Calibri"/>
          <w:sz w:val="22"/>
          <w:szCs w:val="22"/>
          <w:lang w:val="en-US"/>
        </w:rPr>
        <w:t xml:space="preserve"> </w:t>
      </w:r>
      <w:r w:rsidRPr="00701EFD">
        <w:rPr>
          <w:rFonts w:asciiTheme="minorHAnsi" w:hAnsiTheme="minorHAnsi" w:cstheme="minorBidi"/>
          <w:color w:val="auto"/>
          <w:sz w:val="20"/>
          <w:szCs w:val="22"/>
          <w:lang w:val="en-US"/>
        </w:rPr>
        <w:t>and</w:t>
      </w:r>
      <w:r w:rsidRPr="00701EFD">
        <w:rPr>
          <w:rFonts w:asciiTheme="minorHAnsi" w:hAnsiTheme="minorHAnsi" w:cs="Calibri"/>
          <w:sz w:val="22"/>
          <w:szCs w:val="22"/>
          <w:lang w:val="en-US"/>
        </w:rPr>
        <w:t xml:space="preserve"> </w:t>
      </w:r>
      <w:r w:rsidRPr="00701EFD">
        <w:rPr>
          <w:rFonts w:asciiTheme="minorHAnsi" w:hAnsiTheme="minorHAnsi" w:cstheme="minorBidi"/>
          <w:color w:val="auto"/>
          <w:sz w:val="20"/>
          <w:szCs w:val="22"/>
          <w:lang w:val="en-US"/>
        </w:rPr>
        <w:t xml:space="preserve">logically connected to the evaluation’s findings. They should highlight the strengths, weaknesses, and results of DCAF’s work with external oversight actors. </w:t>
      </w:r>
    </w:p>
    <w:p w14:paraId="3E2078EE" w14:textId="77777777" w:rsidR="00670A47" w:rsidRPr="00701EFD" w:rsidRDefault="00670A47" w:rsidP="004232E7">
      <w:pPr>
        <w:pStyle w:val="Default"/>
        <w:jc w:val="both"/>
        <w:rPr>
          <w:rFonts w:asciiTheme="minorHAnsi" w:hAnsiTheme="minorHAnsi" w:cstheme="minorBidi"/>
          <w:color w:val="auto"/>
          <w:sz w:val="20"/>
          <w:szCs w:val="22"/>
          <w:lang w:val="en-US"/>
        </w:rPr>
      </w:pPr>
    </w:p>
    <w:p w14:paraId="17CBD485" w14:textId="4A6C7710" w:rsidR="004232E7" w:rsidRPr="00701EFD" w:rsidRDefault="00FF62A8" w:rsidP="004232E7">
      <w:pPr>
        <w:pStyle w:val="Default"/>
        <w:jc w:val="both"/>
        <w:rPr>
          <w:rFonts w:asciiTheme="minorHAnsi" w:hAnsiTheme="minorHAnsi" w:cstheme="minorBidi"/>
          <w:color w:val="auto"/>
          <w:sz w:val="20"/>
          <w:szCs w:val="22"/>
          <w:lang w:val="en-US"/>
        </w:rPr>
      </w:pPr>
      <w:r w:rsidRPr="00701EFD">
        <w:rPr>
          <w:rFonts w:asciiTheme="minorHAnsi" w:hAnsiTheme="minorHAnsi" w:cstheme="minorBidi"/>
          <w:color w:val="auto"/>
          <w:sz w:val="20"/>
          <w:szCs w:val="22"/>
          <w:lang w:val="en-US"/>
        </w:rPr>
        <w:t xml:space="preserve">Recommendations need to </w:t>
      </w:r>
      <w:r w:rsidR="00670A47" w:rsidRPr="00701EFD">
        <w:rPr>
          <w:rFonts w:asciiTheme="minorHAnsi" w:hAnsiTheme="minorHAnsi" w:cstheme="minorBidi"/>
          <w:color w:val="auto"/>
          <w:sz w:val="20"/>
          <w:szCs w:val="22"/>
          <w:lang w:val="en-US"/>
        </w:rPr>
        <w:t xml:space="preserve">clearly address a previous stated issue, be precise and actionable. </w:t>
      </w:r>
      <w:r w:rsidRPr="00701EFD">
        <w:rPr>
          <w:rFonts w:asciiTheme="minorHAnsi" w:hAnsiTheme="minorHAnsi" w:cstheme="minorBidi"/>
          <w:color w:val="auto"/>
          <w:sz w:val="20"/>
          <w:szCs w:val="22"/>
          <w:lang w:val="en-US"/>
        </w:rPr>
        <w:t>L</w:t>
      </w:r>
      <w:r w:rsidR="004232E7" w:rsidRPr="00701EFD">
        <w:rPr>
          <w:rFonts w:asciiTheme="minorHAnsi" w:hAnsiTheme="minorHAnsi" w:cstheme="minorBidi"/>
          <w:color w:val="auto"/>
          <w:sz w:val="20"/>
          <w:szCs w:val="22"/>
          <w:lang w:val="en-US"/>
        </w:rPr>
        <w:t>esson</w:t>
      </w:r>
      <w:r w:rsidRPr="00701EFD">
        <w:rPr>
          <w:rFonts w:asciiTheme="minorHAnsi" w:hAnsiTheme="minorHAnsi" w:cstheme="minorBidi"/>
          <w:color w:val="auto"/>
          <w:sz w:val="20"/>
          <w:szCs w:val="22"/>
          <w:lang w:val="en-US"/>
        </w:rPr>
        <w:t>s</w:t>
      </w:r>
      <w:r w:rsidR="004232E7" w:rsidRPr="00701EFD">
        <w:rPr>
          <w:rFonts w:asciiTheme="minorHAnsi" w:hAnsiTheme="minorHAnsi" w:cstheme="minorBidi"/>
          <w:color w:val="auto"/>
          <w:sz w:val="20"/>
          <w:szCs w:val="22"/>
          <w:lang w:val="en-US"/>
        </w:rPr>
        <w:t xml:space="preserve"> should succinctly specify the context from which </w:t>
      </w:r>
      <w:r w:rsidRPr="00701EFD">
        <w:rPr>
          <w:rFonts w:asciiTheme="minorHAnsi" w:hAnsiTheme="minorHAnsi" w:cstheme="minorBidi"/>
          <w:color w:val="auto"/>
          <w:sz w:val="20"/>
          <w:szCs w:val="22"/>
          <w:lang w:val="en-US"/>
        </w:rPr>
        <w:t>they</w:t>
      </w:r>
      <w:r w:rsidR="004232E7" w:rsidRPr="00701EFD">
        <w:rPr>
          <w:rFonts w:asciiTheme="minorHAnsi" w:hAnsiTheme="minorHAnsi" w:cstheme="minorBidi"/>
          <w:color w:val="auto"/>
          <w:sz w:val="20"/>
          <w:szCs w:val="22"/>
          <w:lang w:val="en-US"/>
        </w:rPr>
        <w:t xml:space="preserve"> </w:t>
      </w:r>
      <w:r w:rsidRPr="00701EFD">
        <w:rPr>
          <w:rFonts w:asciiTheme="minorHAnsi" w:hAnsiTheme="minorHAnsi" w:cstheme="minorBidi"/>
          <w:color w:val="auto"/>
          <w:sz w:val="20"/>
          <w:szCs w:val="22"/>
          <w:lang w:val="en-US"/>
        </w:rPr>
        <w:t>are</w:t>
      </w:r>
      <w:r w:rsidR="004232E7" w:rsidRPr="00701EFD">
        <w:rPr>
          <w:rFonts w:asciiTheme="minorHAnsi" w:hAnsiTheme="minorHAnsi" w:cstheme="minorBidi"/>
          <w:color w:val="auto"/>
          <w:sz w:val="20"/>
          <w:szCs w:val="22"/>
          <w:lang w:val="en-US"/>
        </w:rPr>
        <w:t xml:space="preserve"> derived, establish </w:t>
      </w:r>
      <w:r w:rsidRPr="00701EFD">
        <w:rPr>
          <w:rFonts w:asciiTheme="minorHAnsi" w:hAnsiTheme="minorHAnsi" w:cstheme="minorBidi"/>
          <w:color w:val="auto"/>
          <w:sz w:val="20"/>
          <w:szCs w:val="22"/>
          <w:lang w:val="en-US"/>
        </w:rPr>
        <w:t>their</w:t>
      </w:r>
      <w:r w:rsidR="004232E7" w:rsidRPr="00701EFD">
        <w:rPr>
          <w:rFonts w:asciiTheme="minorHAnsi" w:hAnsiTheme="minorHAnsi" w:cstheme="minorBidi"/>
          <w:color w:val="auto"/>
          <w:sz w:val="20"/>
          <w:szCs w:val="22"/>
          <w:lang w:val="en-US"/>
        </w:rPr>
        <w:t xml:space="preserve"> relevance beyond that context (where it will be applied and by whom) and suggest some prescription or action. Although lessons are derived from a specific situation, they are intended to have wider relevance</w:t>
      </w:r>
      <w:r w:rsidRPr="00701EFD">
        <w:rPr>
          <w:rFonts w:asciiTheme="minorHAnsi" w:hAnsiTheme="minorHAnsi" w:cstheme="minorBidi"/>
          <w:color w:val="auto"/>
          <w:sz w:val="20"/>
          <w:szCs w:val="22"/>
          <w:lang w:val="en-US"/>
        </w:rPr>
        <w:t>.</w:t>
      </w:r>
    </w:p>
    <w:p w14:paraId="3ABAF635" w14:textId="54558F86" w:rsidR="002259DE" w:rsidRPr="00701EFD" w:rsidRDefault="002259DE" w:rsidP="00DB6D20">
      <w:pPr>
        <w:autoSpaceDE w:val="0"/>
        <w:autoSpaceDN w:val="0"/>
        <w:adjustRightInd w:val="0"/>
        <w:spacing w:before="0" w:after="0"/>
        <w:jc w:val="both"/>
        <w:rPr>
          <w:lang w:val="en-US"/>
        </w:rPr>
      </w:pPr>
    </w:p>
    <w:p w14:paraId="22BA29CA" w14:textId="6821B5AE" w:rsidR="00923087" w:rsidRPr="00701EFD" w:rsidRDefault="002259DE" w:rsidP="00923087">
      <w:pPr>
        <w:autoSpaceDE w:val="0"/>
        <w:autoSpaceDN w:val="0"/>
        <w:adjustRightInd w:val="0"/>
        <w:spacing w:before="0" w:after="0"/>
        <w:jc w:val="both"/>
        <w:rPr>
          <w:lang w:val="en-US"/>
        </w:rPr>
      </w:pPr>
      <w:r w:rsidRPr="00701EFD">
        <w:rPr>
          <w:lang w:val="en-US"/>
        </w:rPr>
        <w:t>The final report must describe the full approach taken</w:t>
      </w:r>
      <w:r w:rsidR="00923087" w:rsidRPr="00701EFD">
        <w:rPr>
          <w:lang w:val="en-US"/>
        </w:rPr>
        <w:t>, repeat the</w:t>
      </w:r>
      <w:r w:rsidRPr="00701EFD">
        <w:rPr>
          <w:lang w:val="en-US"/>
        </w:rPr>
        <w:t xml:space="preserve"> rationale for the </w:t>
      </w:r>
      <w:r w:rsidR="00923087" w:rsidRPr="00701EFD">
        <w:rPr>
          <w:lang w:val="en-US"/>
        </w:rPr>
        <w:t xml:space="preserve">chosen </w:t>
      </w:r>
      <w:r w:rsidRPr="00701EFD">
        <w:rPr>
          <w:lang w:val="en-US"/>
        </w:rPr>
        <w:t>methods</w:t>
      </w:r>
      <w:r w:rsidR="00923087" w:rsidRPr="00701EFD">
        <w:rPr>
          <w:lang w:val="en-US"/>
        </w:rPr>
        <w:t xml:space="preserve">, and lay out any limitations that came therewith. In any case, the </w:t>
      </w:r>
      <w:r w:rsidR="00283A46" w:rsidRPr="00701EFD">
        <w:rPr>
          <w:lang w:val="en-US"/>
        </w:rPr>
        <w:t>evaluators</w:t>
      </w:r>
      <w:r w:rsidR="004232E7" w:rsidRPr="00701EFD">
        <w:rPr>
          <w:lang w:val="en-US"/>
        </w:rPr>
        <w:t xml:space="preserve"> </w:t>
      </w:r>
      <w:r w:rsidR="00923087" w:rsidRPr="00701EFD">
        <w:rPr>
          <w:lang w:val="en-US"/>
        </w:rPr>
        <w:t>must use gender-responsive methodologies and tools.</w:t>
      </w:r>
    </w:p>
    <w:p w14:paraId="45DDD62D" w14:textId="77777777" w:rsidR="0061227E" w:rsidRPr="00701EFD" w:rsidRDefault="0061227E" w:rsidP="00DB6D20">
      <w:pPr>
        <w:autoSpaceDE w:val="0"/>
        <w:autoSpaceDN w:val="0"/>
        <w:adjustRightInd w:val="0"/>
        <w:spacing w:before="0" w:after="0"/>
        <w:jc w:val="both"/>
        <w:rPr>
          <w:rFonts w:cs="Wingdings"/>
          <w:color w:val="000000"/>
          <w:szCs w:val="20"/>
          <w:lang w:val="en-US"/>
        </w:rPr>
      </w:pPr>
    </w:p>
    <w:p w14:paraId="72AA247D" w14:textId="61F3AB1B" w:rsidR="00147F90" w:rsidRPr="00701EFD" w:rsidRDefault="00147F90" w:rsidP="00DB6D20">
      <w:pPr>
        <w:spacing w:before="0" w:after="0"/>
        <w:jc w:val="both"/>
        <w:rPr>
          <w:b/>
          <w:bCs/>
          <w:sz w:val="32"/>
          <w:szCs w:val="32"/>
          <w:lang w:val="en-US"/>
        </w:rPr>
      </w:pPr>
      <w:r w:rsidRPr="00701EFD">
        <w:rPr>
          <w:b/>
          <w:bCs/>
          <w:sz w:val="32"/>
          <w:szCs w:val="32"/>
          <w:lang w:val="en-US"/>
        </w:rPr>
        <w:t>6. Management of the evaluation</w:t>
      </w:r>
    </w:p>
    <w:p w14:paraId="772218A8" w14:textId="77777777" w:rsidR="00613E6E" w:rsidRPr="00701EFD" w:rsidRDefault="00613E6E" w:rsidP="00DB6D20">
      <w:pPr>
        <w:spacing w:before="0" w:after="0"/>
        <w:jc w:val="both"/>
        <w:rPr>
          <w:rFonts w:cs="Calibri"/>
          <w:sz w:val="22"/>
          <w:lang w:val="en-US"/>
        </w:rPr>
      </w:pPr>
    </w:p>
    <w:p w14:paraId="5BF815BB" w14:textId="79C60AB4" w:rsidR="00147F90" w:rsidRPr="00701EFD" w:rsidRDefault="00756106" w:rsidP="00DB6D20">
      <w:pPr>
        <w:spacing w:before="0" w:after="0"/>
        <w:jc w:val="both"/>
        <w:rPr>
          <w:lang w:val="en-US"/>
        </w:rPr>
      </w:pPr>
      <w:r w:rsidRPr="00701EFD">
        <w:rPr>
          <w:lang w:val="en-US"/>
        </w:rPr>
        <w:t xml:space="preserve">The principal responsibility for managing this thematic evaluation resides with the commissioning </w:t>
      </w:r>
      <w:r w:rsidR="00CE1FCF" w:rsidRPr="00701EFD">
        <w:rPr>
          <w:lang w:val="en-US"/>
        </w:rPr>
        <w:t>entity</w:t>
      </w:r>
      <w:r w:rsidRPr="00701EFD">
        <w:rPr>
          <w:lang w:val="en-US"/>
        </w:rPr>
        <w:t xml:space="preserve">. The commissioning </w:t>
      </w:r>
      <w:r w:rsidR="00CE1FCF" w:rsidRPr="00701EFD">
        <w:rPr>
          <w:lang w:val="en-US"/>
        </w:rPr>
        <w:t xml:space="preserve">entity </w:t>
      </w:r>
      <w:r w:rsidRPr="00701EFD">
        <w:rPr>
          <w:lang w:val="en-US"/>
        </w:rPr>
        <w:t xml:space="preserve">for </w:t>
      </w:r>
      <w:r w:rsidR="00923087" w:rsidRPr="00701EFD">
        <w:rPr>
          <w:lang w:val="en-US"/>
        </w:rPr>
        <w:t>t</w:t>
      </w:r>
      <w:r w:rsidRPr="00701EFD">
        <w:rPr>
          <w:lang w:val="en-US"/>
        </w:rPr>
        <w:t>his evaluation is the Operations Department</w:t>
      </w:r>
      <w:r w:rsidR="001F5405" w:rsidRPr="00701EFD">
        <w:rPr>
          <w:lang w:val="en-US"/>
        </w:rPr>
        <w:t>,</w:t>
      </w:r>
      <w:r w:rsidRPr="00701EFD">
        <w:rPr>
          <w:lang w:val="en-US"/>
        </w:rPr>
        <w:t xml:space="preserve"> with support from the Director’s Office. The commissioning </w:t>
      </w:r>
      <w:r w:rsidR="00CE1FCF" w:rsidRPr="00701EFD">
        <w:rPr>
          <w:lang w:val="en-US"/>
        </w:rPr>
        <w:t xml:space="preserve">entity </w:t>
      </w:r>
      <w:r w:rsidRPr="00701EFD">
        <w:rPr>
          <w:lang w:val="en-US"/>
        </w:rPr>
        <w:t xml:space="preserve">will contract the evaluators and ensure the timely provision of guidance and fees. </w:t>
      </w:r>
      <w:r w:rsidR="001F5405" w:rsidRPr="00701EFD">
        <w:rPr>
          <w:lang w:val="en-US"/>
        </w:rPr>
        <w:t>T</w:t>
      </w:r>
      <w:r w:rsidRPr="00701EFD">
        <w:rPr>
          <w:lang w:val="en-US"/>
        </w:rPr>
        <w:t xml:space="preserve">ogether with all </w:t>
      </w:r>
      <w:r w:rsidR="00923087" w:rsidRPr="00701EFD">
        <w:rPr>
          <w:lang w:val="en-US"/>
        </w:rPr>
        <w:t xml:space="preserve">the involved </w:t>
      </w:r>
      <w:r w:rsidRPr="00701EFD">
        <w:rPr>
          <w:lang w:val="en-US"/>
        </w:rPr>
        <w:t>project team</w:t>
      </w:r>
      <w:r w:rsidR="001F5405" w:rsidRPr="00701EFD">
        <w:rPr>
          <w:lang w:val="en-US"/>
        </w:rPr>
        <w:t>s, it</w:t>
      </w:r>
      <w:r w:rsidRPr="00701EFD">
        <w:rPr>
          <w:lang w:val="en-US"/>
        </w:rPr>
        <w:t xml:space="preserve"> will be responsible for liaising with the </w:t>
      </w:r>
      <w:r w:rsidR="00283A46" w:rsidRPr="00701EFD">
        <w:rPr>
          <w:lang w:val="en-US"/>
        </w:rPr>
        <w:t xml:space="preserve">evaluators </w:t>
      </w:r>
      <w:r w:rsidRPr="00701EFD">
        <w:rPr>
          <w:lang w:val="en-US"/>
        </w:rPr>
        <w:t>to provide all relevant documents and set up stakeholder interviews.</w:t>
      </w:r>
      <w:r w:rsidR="001F5405" w:rsidRPr="00701EFD">
        <w:rPr>
          <w:lang w:val="en-US"/>
        </w:rPr>
        <w:t xml:space="preserve"> Finally, the commissioning </w:t>
      </w:r>
      <w:r w:rsidR="00CE1FCF" w:rsidRPr="00701EFD">
        <w:rPr>
          <w:lang w:val="en-US"/>
        </w:rPr>
        <w:t xml:space="preserve">entity </w:t>
      </w:r>
      <w:r w:rsidR="001F5405" w:rsidRPr="00701EFD">
        <w:rPr>
          <w:lang w:val="en-US"/>
        </w:rPr>
        <w:t xml:space="preserve">will </w:t>
      </w:r>
      <w:r w:rsidR="00923087" w:rsidRPr="00701EFD">
        <w:rPr>
          <w:lang w:val="en-US"/>
        </w:rPr>
        <w:t>oversee</w:t>
      </w:r>
      <w:r w:rsidR="001F5405" w:rsidRPr="00701EFD">
        <w:rPr>
          <w:lang w:val="en-US"/>
        </w:rPr>
        <w:t xml:space="preserve"> </w:t>
      </w:r>
      <w:r w:rsidR="00923087" w:rsidRPr="00701EFD">
        <w:rPr>
          <w:lang w:val="en-US"/>
        </w:rPr>
        <w:t>circulation of</w:t>
      </w:r>
      <w:r w:rsidR="001F5405" w:rsidRPr="00701EFD">
        <w:rPr>
          <w:lang w:val="en-US"/>
        </w:rPr>
        <w:t xml:space="preserve"> the evaluation report and managing the follow-up process.</w:t>
      </w:r>
    </w:p>
    <w:p w14:paraId="3BA53D74" w14:textId="214C4CC9" w:rsidR="00756106" w:rsidRPr="00701EFD" w:rsidRDefault="00756106" w:rsidP="00DB6D20">
      <w:pPr>
        <w:spacing w:before="0" w:after="0"/>
        <w:jc w:val="both"/>
        <w:rPr>
          <w:lang w:val="en-US"/>
        </w:rPr>
      </w:pPr>
    </w:p>
    <w:p w14:paraId="072A8D12" w14:textId="77777777" w:rsidR="00B2098E" w:rsidRPr="00701EFD" w:rsidRDefault="00B2098E" w:rsidP="00DB6D20">
      <w:pPr>
        <w:spacing w:before="0" w:after="0"/>
        <w:jc w:val="both"/>
        <w:rPr>
          <w:rFonts w:cs="Calibri"/>
          <w:sz w:val="22"/>
          <w:lang w:val="en-US"/>
        </w:rPr>
      </w:pPr>
    </w:p>
    <w:p w14:paraId="138F1049" w14:textId="1FF43589" w:rsidR="00147F90" w:rsidRPr="00701EFD" w:rsidRDefault="00147F90" w:rsidP="00DB6D20">
      <w:pPr>
        <w:spacing w:before="0" w:after="0"/>
        <w:jc w:val="both"/>
        <w:rPr>
          <w:b/>
          <w:bCs/>
          <w:sz w:val="32"/>
          <w:szCs w:val="32"/>
          <w:lang w:val="en-US"/>
        </w:rPr>
      </w:pPr>
      <w:r w:rsidRPr="00701EFD">
        <w:rPr>
          <w:b/>
          <w:bCs/>
          <w:sz w:val="32"/>
          <w:szCs w:val="32"/>
          <w:lang w:val="en-US"/>
        </w:rPr>
        <w:t>7. Deliverables</w:t>
      </w:r>
    </w:p>
    <w:p w14:paraId="499A9660" w14:textId="77777777" w:rsidR="009D01DC" w:rsidRPr="00701EFD" w:rsidRDefault="009D01DC" w:rsidP="00DB6D20">
      <w:pPr>
        <w:autoSpaceDE w:val="0"/>
        <w:autoSpaceDN w:val="0"/>
        <w:adjustRightInd w:val="0"/>
        <w:spacing w:before="0" w:after="0"/>
        <w:jc w:val="both"/>
        <w:rPr>
          <w:rFonts w:cs="Saira"/>
          <w:color w:val="000000"/>
          <w:szCs w:val="20"/>
        </w:rPr>
      </w:pPr>
    </w:p>
    <w:p w14:paraId="09DCF7B4" w14:textId="286A49AA" w:rsidR="00581FF8" w:rsidRPr="00701EFD" w:rsidRDefault="009D01DC" w:rsidP="00DB6D20">
      <w:pPr>
        <w:autoSpaceDE w:val="0"/>
        <w:autoSpaceDN w:val="0"/>
        <w:adjustRightInd w:val="0"/>
        <w:spacing w:before="0" w:after="0"/>
        <w:jc w:val="both"/>
        <w:rPr>
          <w:lang w:val="en-US"/>
        </w:rPr>
      </w:pPr>
      <w:r w:rsidRPr="00701EFD">
        <w:rPr>
          <w:lang w:val="en-US"/>
        </w:rPr>
        <w:t>Expected deliverables include:</w:t>
      </w:r>
    </w:p>
    <w:p w14:paraId="56FE2E87" w14:textId="77777777" w:rsidR="009D01DC" w:rsidRPr="00701EFD" w:rsidRDefault="009D01DC" w:rsidP="00DB6D20">
      <w:pPr>
        <w:autoSpaceDE w:val="0"/>
        <w:autoSpaceDN w:val="0"/>
        <w:adjustRightInd w:val="0"/>
        <w:spacing w:before="0" w:after="0"/>
        <w:jc w:val="both"/>
        <w:rPr>
          <w:lang w:val="en-US"/>
        </w:rPr>
      </w:pPr>
    </w:p>
    <w:p w14:paraId="7D176D7C" w14:textId="06EE3E7C" w:rsidR="00581FF8" w:rsidRPr="00701EFD" w:rsidRDefault="00581FF8" w:rsidP="00DB6D20">
      <w:pPr>
        <w:numPr>
          <w:ilvl w:val="1"/>
          <w:numId w:val="3"/>
        </w:numPr>
        <w:autoSpaceDE w:val="0"/>
        <w:autoSpaceDN w:val="0"/>
        <w:adjustRightInd w:val="0"/>
        <w:spacing w:before="0" w:after="287"/>
        <w:jc w:val="both"/>
        <w:rPr>
          <w:lang w:val="en-US"/>
        </w:rPr>
      </w:pPr>
      <w:r w:rsidRPr="00701EFD">
        <w:rPr>
          <w:lang w:val="en-US"/>
        </w:rPr>
        <w:t xml:space="preserve">1. An </w:t>
      </w:r>
      <w:r w:rsidR="00EA1B2E" w:rsidRPr="008A2E09">
        <w:rPr>
          <w:b/>
          <w:bCs/>
          <w:lang w:val="en-US"/>
        </w:rPr>
        <w:t>i</w:t>
      </w:r>
      <w:r w:rsidRPr="008A2E09">
        <w:rPr>
          <w:b/>
          <w:bCs/>
          <w:lang w:val="en-US"/>
        </w:rPr>
        <w:t xml:space="preserve">nception </w:t>
      </w:r>
      <w:r w:rsidR="00EA1B2E" w:rsidRPr="008A2E09">
        <w:rPr>
          <w:b/>
          <w:bCs/>
          <w:lang w:val="en-US"/>
        </w:rPr>
        <w:t>r</w:t>
      </w:r>
      <w:r w:rsidRPr="008A2E09">
        <w:rPr>
          <w:b/>
          <w:bCs/>
          <w:lang w:val="en-US"/>
        </w:rPr>
        <w:t>eport</w:t>
      </w:r>
      <w:r w:rsidRPr="00701EFD">
        <w:rPr>
          <w:lang w:val="en-US"/>
        </w:rPr>
        <w:t xml:space="preserve"> which defines the methodology and timeline of the evaluation</w:t>
      </w:r>
      <w:r w:rsidR="00670A47" w:rsidRPr="00701EFD">
        <w:rPr>
          <w:lang w:val="en-US"/>
        </w:rPr>
        <w:t>. It need</w:t>
      </w:r>
      <w:r w:rsidR="00B205B3" w:rsidRPr="00701EFD">
        <w:rPr>
          <w:lang w:val="en-US"/>
        </w:rPr>
        <w:t>s</w:t>
      </w:r>
      <w:r w:rsidR="00670A47" w:rsidRPr="00701EFD">
        <w:rPr>
          <w:lang w:val="en-US"/>
        </w:rPr>
        <w:t xml:space="preserve"> to </w:t>
      </w:r>
      <w:r w:rsidRPr="00701EFD">
        <w:rPr>
          <w:lang w:val="en-US"/>
        </w:rPr>
        <w:t>include</w:t>
      </w:r>
      <w:r w:rsidR="00670A47" w:rsidRPr="00701EFD">
        <w:rPr>
          <w:lang w:val="en-US"/>
        </w:rPr>
        <w:t xml:space="preserve"> a preliminary list of documents and interviewees and</w:t>
      </w:r>
      <w:r w:rsidRPr="00701EFD">
        <w:rPr>
          <w:lang w:val="en-US"/>
        </w:rPr>
        <w:t xml:space="preserve"> an evaluation matrix that pairs evaluation questions with indicators and information </w:t>
      </w:r>
      <w:r w:rsidR="00670A47" w:rsidRPr="00701EFD">
        <w:rPr>
          <w:lang w:val="en-US"/>
        </w:rPr>
        <w:t xml:space="preserve">collection tools and </w:t>
      </w:r>
      <w:r w:rsidRPr="00701EFD">
        <w:rPr>
          <w:lang w:val="en-US"/>
        </w:rPr>
        <w:t xml:space="preserve">sources. </w:t>
      </w:r>
    </w:p>
    <w:p w14:paraId="5839F30D" w14:textId="4D8C3E14" w:rsidR="00581FF8" w:rsidRPr="00701EFD" w:rsidRDefault="00581FF8" w:rsidP="00DB6D20">
      <w:pPr>
        <w:numPr>
          <w:ilvl w:val="1"/>
          <w:numId w:val="3"/>
        </w:numPr>
        <w:autoSpaceDE w:val="0"/>
        <w:autoSpaceDN w:val="0"/>
        <w:adjustRightInd w:val="0"/>
        <w:spacing w:before="0" w:after="287"/>
        <w:jc w:val="both"/>
        <w:rPr>
          <w:lang w:val="en-US"/>
        </w:rPr>
      </w:pPr>
      <w:r w:rsidRPr="00701EFD">
        <w:rPr>
          <w:lang w:val="en-US"/>
        </w:rPr>
        <w:t xml:space="preserve">2. A </w:t>
      </w:r>
      <w:r w:rsidRPr="008A2E09">
        <w:rPr>
          <w:b/>
          <w:bCs/>
          <w:lang w:val="en-US"/>
        </w:rPr>
        <w:t xml:space="preserve">presentation of </w:t>
      </w:r>
      <w:r w:rsidR="00756106" w:rsidRPr="008A2E09">
        <w:rPr>
          <w:b/>
          <w:bCs/>
          <w:lang w:val="en-US"/>
        </w:rPr>
        <w:t>initial</w:t>
      </w:r>
      <w:r w:rsidRPr="008A2E09">
        <w:rPr>
          <w:b/>
          <w:bCs/>
          <w:lang w:val="en-US"/>
        </w:rPr>
        <w:t xml:space="preserve"> findings</w:t>
      </w:r>
      <w:r w:rsidRPr="00701EFD">
        <w:rPr>
          <w:lang w:val="en-US"/>
        </w:rPr>
        <w:t xml:space="preserve"> </w:t>
      </w:r>
      <w:r w:rsidR="009D01DC" w:rsidRPr="00701EFD">
        <w:rPr>
          <w:lang w:val="en-US"/>
        </w:rPr>
        <w:t>shortly prior to the dissemination of the draft report.</w:t>
      </w:r>
    </w:p>
    <w:p w14:paraId="2922E665" w14:textId="4AD54EA0" w:rsidR="00581FF8" w:rsidRPr="00701EFD" w:rsidRDefault="009D01DC" w:rsidP="00DB6D20">
      <w:pPr>
        <w:numPr>
          <w:ilvl w:val="1"/>
          <w:numId w:val="3"/>
        </w:numPr>
        <w:autoSpaceDE w:val="0"/>
        <w:autoSpaceDN w:val="0"/>
        <w:adjustRightInd w:val="0"/>
        <w:spacing w:before="0" w:after="287"/>
        <w:jc w:val="both"/>
        <w:rPr>
          <w:lang w:val="en-US"/>
        </w:rPr>
      </w:pPr>
      <w:r w:rsidRPr="00701EFD">
        <w:rPr>
          <w:lang w:val="en-US"/>
        </w:rPr>
        <w:t>3</w:t>
      </w:r>
      <w:r w:rsidR="00581FF8" w:rsidRPr="00701EFD">
        <w:rPr>
          <w:lang w:val="en-US"/>
        </w:rPr>
        <w:t xml:space="preserve">. </w:t>
      </w:r>
      <w:r w:rsidRPr="00701EFD">
        <w:rPr>
          <w:lang w:val="en-US"/>
        </w:rPr>
        <w:t xml:space="preserve">A </w:t>
      </w:r>
      <w:r w:rsidRPr="008A2E09">
        <w:rPr>
          <w:b/>
          <w:bCs/>
          <w:lang w:val="en-US"/>
        </w:rPr>
        <w:t>d</w:t>
      </w:r>
      <w:r w:rsidR="00581FF8" w:rsidRPr="008A2E09">
        <w:rPr>
          <w:b/>
          <w:bCs/>
          <w:lang w:val="en-US"/>
        </w:rPr>
        <w:t>raft evaluation report</w:t>
      </w:r>
      <w:r w:rsidR="00581FF8" w:rsidRPr="00701EFD">
        <w:rPr>
          <w:lang w:val="en-US"/>
        </w:rPr>
        <w:t xml:space="preserve"> of </w:t>
      </w:r>
      <w:r w:rsidR="00F92C67" w:rsidRPr="00701EFD">
        <w:rPr>
          <w:lang w:val="en-US"/>
        </w:rPr>
        <w:t>no more than 30</w:t>
      </w:r>
      <w:r w:rsidR="00581FF8" w:rsidRPr="00701EFD">
        <w:rPr>
          <w:lang w:val="en-US"/>
        </w:rPr>
        <w:t xml:space="preserve"> pages</w:t>
      </w:r>
      <w:r w:rsidRPr="00701EFD">
        <w:rPr>
          <w:lang w:val="en-US"/>
        </w:rPr>
        <w:t xml:space="preserve"> </w:t>
      </w:r>
      <w:r w:rsidR="00581FF8" w:rsidRPr="00701EFD">
        <w:rPr>
          <w:lang w:val="en-US"/>
        </w:rPr>
        <w:t>(without annexes), including an executive summary of no more than 2</w:t>
      </w:r>
      <w:r w:rsidR="00670A47" w:rsidRPr="00701EFD">
        <w:rPr>
          <w:lang w:val="en-US"/>
        </w:rPr>
        <w:t>-3</w:t>
      </w:r>
      <w:r w:rsidR="00581FF8" w:rsidRPr="00701EFD">
        <w:rPr>
          <w:lang w:val="en-US"/>
        </w:rPr>
        <w:t xml:space="preserve"> pages. </w:t>
      </w:r>
    </w:p>
    <w:p w14:paraId="6B208325" w14:textId="39ACD571" w:rsidR="00756106" w:rsidRPr="00701EFD" w:rsidRDefault="009D01DC" w:rsidP="00DB6D20">
      <w:pPr>
        <w:pStyle w:val="Default"/>
        <w:jc w:val="both"/>
        <w:rPr>
          <w:rFonts w:asciiTheme="minorHAnsi" w:hAnsiTheme="minorHAnsi" w:cstheme="minorBidi"/>
          <w:color w:val="auto"/>
          <w:sz w:val="20"/>
          <w:szCs w:val="22"/>
          <w:lang w:val="en-US"/>
        </w:rPr>
      </w:pPr>
      <w:r w:rsidRPr="00701EFD">
        <w:rPr>
          <w:rFonts w:asciiTheme="minorHAnsi" w:hAnsiTheme="minorHAnsi" w:cstheme="minorBidi"/>
          <w:color w:val="auto"/>
          <w:sz w:val="20"/>
          <w:szCs w:val="22"/>
          <w:lang w:val="en-US"/>
        </w:rPr>
        <w:t>4</w:t>
      </w:r>
      <w:r w:rsidR="00581FF8" w:rsidRPr="00701EFD">
        <w:rPr>
          <w:rFonts w:asciiTheme="minorHAnsi" w:hAnsiTheme="minorHAnsi" w:cstheme="minorBidi"/>
          <w:color w:val="auto"/>
          <w:sz w:val="20"/>
          <w:szCs w:val="22"/>
          <w:lang w:val="en-US"/>
        </w:rPr>
        <w:t xml:space="preserve">. </w:t>
      </w:r>
      <w:r w:rsidRPr="00701EFD">
        <w:rPr>
          <w:rFonts w:asciiTheme="minorHAnsi" w:hAnsiTheme="minorHAnsi" w:cstheme="minorBidi"/>
          <w:color w:val="auto"/>
          <w:sz w:val="20"/>
          <w:szCs w:val="22"/>
          <w:lang w:val="en-US"/>
        </w:rPr>
        <w:t xml:space="preserve">The </w:t>
      </w:r>
      <w:r w:rsidRPr="008A2E09">
        <w:rPr>
          <w:rFonts w:asciiTheme="minorHAnsi" w:hAnsiTheme="minorHAnsi" w:cstheme="minorBidi"/>
          <w:b/>
          <w:bCs/>
          <w:color w:val="auto"/>
          <w:sz w:val="20"/>
          <w:szCs w:val="22"/>
          <w:lang w:val="en-US"/>
        </w:rPr>
        <w:t>final evaluation report</w:t>
      </w:r>
      <w:r w:rsidRPr="00701EFD">
        <w:rPr>
          <w:rFonts w:asciiTheme="minorHAnsi" w:hAnsiTheme="minorHAnsi" w:cstheme="minorBidi"/>
          <w:color w:val="auto"/>
          <w:sz w:val="20"/>
          <w:szCs w:val="22"/>
          <w:lang w:val="en-US"/>
        </w:rPr>
        <w:t xml:space="preserve"> </w:t>
      </w:r>
      <w:r w:rsidR="005E3FA0" w:rsidRPr="00701EFD">
        <w:rPr>
          <w:rFonts w:asciiTheme="minorHAnsi" w:hAnsiTheme="minorHAnsi" w:cstheme="minorBidi"/>
          <w:color w:val="auto"/>
          <w:sz w:val="20"/>
          <w:szCs w:val="22"/>
          <w:lang w:val="en-US"/>
        </w:rPr>
        <w:t xml:space="preserve">must be </w:t>
      </w:r>
      <w:r w:rsidR="00581FF8" w:rsidRPr="00701EFD">
        <w:rPr>
          <w:rFonts w:asciiTheme="minorHAnsi" w:hAnsiTheme="minorHAnsi" w:cstheme="minorBidi"/>
          <w:color w:val="auto"/>
          <w:sz w:val="20"/>
          <w:szCs w:val="22"/>
          <w:lang w:val="en-US"/>
        </w:rPr>
        <w:t>proofread</w:t>
      </w:r>
      <w:r w:rsidRPr="00701EFD">
        <w:rPr>
          <w:rFonts w:asciiTheme="minorHAnsi" w:hAnsiTheme="minorHAnsi" w:cstheme="minorBidi"/>
          <w:color w:val="auto"/>
          <w:sz w:val="20"/>
          <w:szCs w:val="22"/>
          <w:lang w:val="en-US"/>
        </w:rPr>
        <w:t xml:space="preserve"> </w:t>
      </w:r>
      <w:r w:rsidR="00581FF8" w:rsidRPr="00701EFD">
        <w:rPr>
          <w:rFonts w:asciiTheme="minorHAnsi" w:hAnsiTheme="minorHAnsi" w:cstheme="minorBidi"/>
          <w:color w:val="auto"/>
          <w:sz w:val="20"/>
          <w:szCs w:val="22"/>
          <w:lang w:val="en-US"/>
        </w:rPr>
        <w:t>and presented in print-ready format.</w:t>
      </w:r>
      <w:r w:rsidRPr="00701EFD">
        <w:rPr>
          <w:rFonts w:asciiTheme="minorHAnsi" w:hAnsiTheme="minorHAnsi" w:cstheme="minorBidi"/>
          <w:color w:val="auto"/>
          <w:sz w:val="20"/>
          <w:szCs w:val="22"/>
          <w:lang w:val="en-US"/>
        </w:rPr>
        <w:t xml:space="preserve"> </w:t>
      </w:r>
    </w:p>
    <w:p w14:paraId="1D1287E8" w14:textId="77777777" w:rsidR="0008749E" w:rsidRPr="00701EFD" w:rsidRDefault="0008749E" w:rsidP="00DB6D20">
      <w:pPr>
        <w:pStyle w:val="Default"/>
        <w:jc w:val="both"/>
        <w:rPr>
          <w:rFonts w:asciiTheme="minorHAnsi" w:hAnsiTheme="minorHAnsi" w:cstheme="minorBidi"/>
          <w:color w:val="auto"/>
          <w:sz w:val="20"/>
          <w:szCs w:val="22"/>
          <w:lang w:val="en-US"/>
        </w:rPr>
      </w:pPr>
    </w:p>
    <w:p w14:paraId="06D017A0" w14:textId="73F6D5C5" w:rsidR="00581FF8" w:rsidRPr="00701EFD" w:rsidRDefault="0008749E" w:rsidP="00DB6D20">
      <w:pPr>
        <w:numPr>
          <w:ilvl w:val="1"/>
          <w:numId w:val="3"/>
        </w:numPr>
        <w:autoSpaceDE w:val="0"/>
        <w:autoSpaceDN w:val="0"/>
        <w:adjustRightInd w:val="0"/>
        <w:spacing w:before="0" w:after="287"/>
        <w:jc w:val="both"/>
        <w:rPr>
          <w:lang w:val="en-US"/>
        </w:rPr>
      </w:pPr>
      <w:r w:rsidRPr="00701EFD">
        <w:rPr>
          <w:lang w:val="en-US"/>
        </w:rPr>
        <w:lastRenderedPageBreak/>
        <w:t xml:space="preserve">The structure of the final report shall be based on the following approximate </w:t>
      </w:r>
      <w:r w:rsidR="005E3FA0" w:rsidRPr="00701EFD">
        <w:rPr>
          <w:lang w:val="en-US"/>
        </w:rPr>
        <w:t>items</w:t>
      </w:r>
      <w:r w:rsidRPr="00701EFD">
        <w:rPr>
          <w:lang w:val="en-US"/>
        </w:rPr>
        <w:t>:</w:t>
      </w:r>
    </w:p>
    <w:p w14:paraId="3DF8BA6F" w14:textId="76B0DCF7" w:rsidR="003D2AAD" w:rsidRPr="00701EFD" w:rsidRDefault="003D2AAD" w:rsidP="00DB6D20">
      <w:pPr>
        <w:numPr>
          <w:ilvl w:val="1"/>
          <w:numId w:val="9"/>
        </w:numPr>
        <w:autoSpaceDE w:val="0"/>
        <w:autoSpaceDN w:val="0"/>
        <w:adjustRightInd w:val="0"/>
        <w:spacing w:before="0" w:after="0"/>
        <w:ind w:left="540" w:hanging="270"/>
        <w:jc w:val="both"/>
        <w:rPr>
          <w:lang w:val="en-US"/>
        </w:rPr>
      </w:pPr>
      <w:r w:rsidRPr="00701EFD">
        <w:rPr>
          <w:lang w:val="en-US"/>
        </w:rPr>
        <w:t xml:space="preserve">Executive </w:t>
      </w:r>
      <w:r w:rsidR="00DB6D20" w:rsidRPr="00701EFD">
        <w:rPr>
          <w:lang w:val="en-US"/>
        </w:rPr>
        <w:t>Summary.</w:t>
      </w:r>
    </w:p>
    <w:p w14:paraId="0AA0F5BA" w14:textId="1D38BC8D" w:rsidR="003D2AAD" w:rsidRPr="00701EFD" w:rsidRDefault="003D2AAD" w:rsidP="00DB6D20">
      <w:pPr>
        <w:numPr>
          <w:ilvl w:val="1"/>
          <w:numId w:val="9"/>
        </w:numPr>
        <w:autoSpaceDE w:val="0"/>
        <w:autoSpaceDN w:val="0"/>
        <w:adjustRightInd w:val="0"/>
        <w:spacing w:before="0" w:after="0"/>
        <w:ind w:left="540" w:hanging="270"/>
        <w:jc w:val="both"/>
        <w:rPr>
          <w:lang w:val="en-US"/>
        </w:rPr>
      </w:pPr>
      <w:r w:rsidRPr="00701EFD">
        <w:rPr>
          <w:lang w:val="en-US"/>
        </w:rPr>
        <w:t>Concise Background</w:t>
      </w:r>
      <w:r w:rsidR="00F92C67" w:rsidRPr="00701EFD">
        <w:rPr>
          <w:lang w:val="en-US"/>
        </w:rPr>
        <w:t xml:space="preserve"> Chapter</w:t>
      </w:r>
      <w:r w:rsidRPr="00701EFD">
        <w:rPr>
          <w:lang w:val="en-US"/>
        </w:rPr>
        <w:t>, including a</w:t>
      </w:r>
      <w:r w:rsidR="00B205B3" w:rsidRPr="00701EFD">
        <w:rPr>
          <w:lang w:val="en-US"/>
        </w:rPr>
        <w:t>n overview of the types of projects included in the evaluation</w:t>
      </w:r>
    </w:p>
    <w:p w14:paraId="5E435B23" w14:textId="2F8F3249" w:rsidR="003D2AAD" w:rsidRPr="00701EFD" w:rsidRDefault="005E3FA0" w:rsidP="00DB6D20">
      <w:pPr>
        <w:numPr>
          <w:ilvl w:val="1"/>
          <w:numId w:val="9"/>
        </w:numPr>
        <w:autoSpaceDE w:val="0"/>
        <w:autoSpaceDN w:val="0"/>
        <w:adjustRightInd w:val="0"/>
        <w:spacing w:before="0" w:after="0"/>
        <w:ind w:left="540" w:hanging="270"/>
        <w:jc w:val="both"/>
        <w:rPr>
          <w:lang w:val="en-US"/>
        </w:rPr>
      </w:pPr>
      <w:r w:rsidRPr="00701EFD">
        <w:rPr>
          <w:lang w:val="en-US"/>
        </w:rPr>
        <w:t xml:space="preserve">Purpose, </w:t>
      </w:r>
      <w:proofErr w:type="gramStart"/>
      <w:r w:rsidRPr="00701EFD">
        <w:rPr>
          <w:lang w:val="en-US"/>
        </w:rPr>
        <w:t>s</w:t>
      </w:r>
      <w:r w:rsidR="003D2AAD" w:rsidRPr="00701EFD">
        <w:rPr>
          <w:lang w:val="en-US"/>
        </w:rPr>
        <w:t>cope</w:t>
      </w:r>
      <w:proofErr w:type="gramEnd"/>
      <w:r w:rsidR="003D2AAD" w:rsidRPr="00701EFD">
        <w:rPr>
          <w:lang w:val="en-US"/>
        </w:rPr>
        <w:t xml:space="preserve"> and methodology used for the evaluation</w:t>
      </w:r>
      <w:r w:rsidR="00F92C67" w:rsidRPr="00701EFD">
        <w:rPr>
          <w:lang w:val="en-US"/>
        </w:rPr>
        <w:t xml:space="preserve">, </w:t>
      </w:r>
      <w:r w:rsidR="00DB6D20" w:rsidRPr="00701EFD">
        <w:rPr>
          <w:lang w:val="en-US"/>
        </w:rPr>
        <w:t>including</w:t>
      </w:r>
      <w:r w:rsidR="003D2AAD" w:rsidRPr="00701EFD">
        <w:rPr>
          <w:lang w:val="en-US"/>
        </w:rPr>
        <w:t xml:space="preserve"> evaluation questions and assessment criteria, </w:t>
      </w:r>
      <w:r w:rsidR="00DB6D20" w:rsidRPr="00701EFD">
        <w:rPr>
          <w:lang w:val="en-US"/>
        </w:rPr>
        <w:t>methods</w:t>
      </w:r>
      <w:r w:rsidR="003D2AAD" w:rsidRPr="00701EFD">
        <w:rPr>
          <w:lang w:val="en-US"/>
        </w:rPr>
        <w:t xml:space="preserve">, and limits to the </w:t>
      </w:r>
      <w:r w:rsidR="00DB6D20" w:rsidRPr="00701EFD">
        <w:rPr>
          <w:lang w:val="en-US"/>
        </w:rPr>
        <w:t>evaluation.</w:t>
      </w:r>
    </w:p>
    <w:p w14:paraId="79CCCE3A" w14:textId="1788A8B8" w:rsidR="003D2AAD" w:rsidRPr="00701EFD" w:rsidRDefault="003D2AAD" w:rsidP="00DB6D20">
      <w:pPr>
        <w:numPr>
          <w:ilvl w:val="1"/>
          <w:numId w:val="9"/>
        </w:numPr>
        <w:autoSpaceDE w:val="0"/>
        <w:autoSpaceDN w:val="0"/>
        <w:adjustRightInd w:val="0"/>
        <w:spacing w:before="0" w:after="0"/>
        <w:ind w:left="540" w:hanging="270"/>
        <w:jc w:val="both"/>
        <w:rPr>
          <w:lang w:val="en-US"/>
        </w:rPr>
      </w:pPr>
      <w:r w:rsidRPr="00701EFD">
        <w:rPr>
          <w:lang w:val="en-US"/>
        </w:rPr>
        <w:t xml:space="preserve">Analysis of the collected information: Findings in response to evaluation questions and </w:t>
      </w:r>
      <w:r w:rsidR="00DB6D20" w:rsidRPr="00701EFD">
        <w:rPr>
          <w:lang w:val="en-US"/>
        </w:rPr>
        <w:t>criteria.</w:t>
      </w:r>
    </w:p>
    <w:p w14:paraId="328FBEF1" w14:textId="2DE7680E" w:rsidR="003D2AAD" w:rsidRPr="00701EFD" w:rsidRDefault="003D2AAD" w:rsidP="00DB6D20">
      <w:pPr>
        <w:numPr>
          <w:ilvl w:val="1"/>
          <w:numId w:val="9"/>
        </w:numPr>
        <w:autoSpaceDE w:val="0"/>
        <w:autoSpaceDN w:val="0"/>
        <w:adjustRightInd w:val="0"/>
        <w:spacing w:before="0" w:after="0"/>
        <w:ind w:left="540" w:hanging="270"/>
        <w:jc w:val="both"/>
        <w:rPr>
          <w:lang w:val="en-US"/>
        </w:rPr>
      </w:pPr>
      <w:r w:rsidRPr="00701EFD">
        <w:rPr>
          <w:lang w:val="en-US"/>
        </w:rPr>
        <w:t>Conclusions</w:t>
      </w:r>
      <w:r w:rsidR="00670A47" w:rsidRPr="00701EFD">
        <w:rPr>
          <w:lang w:val="en-US"/>
        </w:rPr>
        <w:t>, lessons learned</w:t>
      </w:r>
      <w:r w:rsidRPr="00701EFD">
        <w:rPr>
          <w:lang w:val="en-US"/>
        </w:rPr>
        <w:t xml:space="preserve"> and </w:t>
      </w:r>
      <w:r w:rsidR="00DB6D20" w:rsidRPr="00701EFD">
        <w:rPr>
          <w:lang w:val="en-US"/>
        </w:rPr>
        <w:t>recommendations.</w:t>
      </w:r>
    </w:p>
    <w:p w14:paraId="64EA4931" w14:textId="2388DBC9" w:rsidR="003D2AAD" w:rsidRPr="00701EFD" w:rsidRDefault="003D2AAD" w:rsidP="00DB6D20">
      <w:pPr>
        <w:numPr>
          <w:ilvl w:val="1"/>
          <w:numId w:val="9"/>
        </w:numPr>
        <w:tabs>
          <w:tab w:val="left" w:pos="90"/>
        </w:tabs>
        <w:autoSpaceDE w:val="0"/>
        <w:autoSpaceDN w:val="0"/>
        <w:adjustRightInd w:val="0"/>
        <w:spacing w:before="0" w:after="0"/>
        <w:ind w:left="540" w:hanging="270"/>
        <w:jc w:val="both"/>
        <w:rPr>
          <w:lang w:val="en-US"/>
        </w:rPr>
      </w:pPr>
      <w:r w:rsidRPr="00701EFD">
        <w:rPr>
          <w:lang w:val="en-US"/>
        </w:rPr>
        <w:t>Annexes (</w:t>
      </w:r>
      <w:proofErr w:type="spellStart"/>
      <w:r w:rsidRPr="00701EFD">
        <w:rPr>
          <w:lang w:val="en-US"/>
        </w:rPr>
        <w:t>ToR</w:t>
      </w:r>
      <w:proofErr w:type="spellEnd"/>
      <w:r w:rsidRPr="00701EFD">
        <w:rPr>
          <w:lang w:val="en-US"/>
        </w:rPr>
        <w:t>, list of documents reviewed, list of interviewees, logic model, audit trail on how all received comments have (and have not) been addressed in the final report</w:t>
      </w:r>
      <w:r w:rsidR="00DB6D20" w:rsidRPr="00701EFD">
        <w:rPr>
          <w:lang w:val="en-US"/>
        </w:rPr>
        <w:t>.</w:t>
      </w:r>
    </w:p>
    <w:p w14:paraId="44991000" w14:textId="77777777" w:rsidR="003D2AAD" w:rsidRPr="00701EFD" w:rsidRDefault="003D2AAD" w:rsidP="00DB6D20">
      <w:pPr>
        <w:tabs>
          <w:tab w:val="left" w:pos="90"/>
        </w:tabs>
        <w:autoSpaceDE w:val="0"/>
        <w:autoSpaceDN w:val="0"/>
        <w:adjustRightInd w:val="0"/>
        <w:spacing w:before="0" w:after="0"/>
        <w:ind w:left="720"/>
        <w:jc w:val="both"/>
        <w:rPr>
          <w:lang w:val="en-US"/>
        </w:rPr>
      </w:pPr>
    </w:p>
    <w:p w14:paraId="7827060D" w14:textId="53DC7C08" w:rsidR="00581FF8" w:rsidRPr="00701EFD" w:rsidRDefault="009D01DC" w:rsidP="00DB6D20">
      <w:pPr>
        <w:numPr>
          <w:ilvl w:val="1"/>
          <w:numId w:val="3"/>
        </w:numPr>
        <w:autoSpaceDE w:val="0"/>
        <w:autoSpaceDN w:val="0"/>
        <w:adjustRightInd w:val="0"/>
        <w:spacing w:before="0" w:after="0"/>
        <w:jc w:val="both"/>
        <w:rPr>
          <w:lang w:val="en-US"/>
        </w:rPr>
      </w:pPr>
      <w:r w:rsidRPr="00701EFD">
        <w:rPr>
          <w:lang w:val="en-US"/>
        </w:rPr>
        <w:t>5</w:t>
      </w:r>
      <w:r w:rsidR="00581FF8" w:rsidRPr="00701EFD">
        <w:rPr>
          <w:lang w:val="en-US"/>
        </w:rPr>
        <w:t>. A</w:t>
      </w:r>
      <w:r w:rsidRPr="00701EFD">
        <w:rPr>
          <w:lang w:val="en-US"/>
        </w:rPr>
        <w:t xml:space="preserve"> final</w:t>
      </w:r>
      <w:r w:rsidR="00581FF8" w:rsidRPr="00701EFD">
        <w:rPr>
          <w:lang w:val="en-US"/>
        </w:rPr>
        <w:t xml:space="preserve"> presentation of the findings </w:t>
      </w:r>
      <w:r w:rsidR="0008749E" w:rsidRPr="00701EFD">
        <w:rPr>
          <w:lang w:val="en-US"/>
        </w:rPr>
        <w:t xml:space="preserve">and recommendations </w:t>
      </w:r>
      <w:r w:rsidR="00581FF8" w:rsidRPr="00701EFD">
        <w:rPr>
          <w:lang w:val="en-US"/>
        </w:rPr>
        <w:t xml:space="preserve">to </w:t>
      </w:r>
      <w:r w:rsidRPr="00701EFD">
        <w:rPr>
          <w:lang w:val="en-US"/>
        </w:rPr>
        <w:t>DCAF staff and invited partners</w:t>
      </w:r>
      <w:r w:rsidR="00581FF8" w:rsidRPr="00701EFD">
        <w:rPr>
          <w:lang w:val="en-US"/>
        </w:rPr>
        <w:t xml:space="preserve">. </w:t>
      </w:r>
    </w:p>
    <w:p w14:paraId="6706A2F6" w14:textId="77777777" w:rsidR="005E3FA0" w:rsidRPr="00701EFD" w:rsidRDefault="005E3FA0" w:rsidP="005E3FA0">
      <w:pPr>
        <w:numPr>
          <w:ilvl w:val="0"/>
          <w:numId w:val="3"/>
        </w:numPr>
        <w:autoSpaceDE w:val="0"/>
        <w:autoSpaceDN w:val="0"/>
        <w:adjustRightInd w:val="0"/>
        <w:spacing w:before="0" w:after="0"/>
        <w:jc w:val="both"/>
        <w:rPr>
          <w:lang w:val="en-US"/>
        </w:rPr>
      </w:pPr>
    </w:p>
    <w:p w14:paraId="76B67ABE" w14:textId="06729B0C" w:rsidR="00147F90" w:rsidRPr="008A2E09" w:rsidRDefault="005E3FA0" w:rsidP="00DB6D20">
      <w:pPr>
        <w:numPr>
          <w:ilvl w:val="0"/>
          <w:numId w:val="3"/>
        </w:numPr>
        <w:autoSpaceDE w:val="0"/>
        <w:autoSpaceDN w:val="0"/>
        <w:adjustRightInd w:val="0"/>
        <w:spacing w:before="0" w:after="0"/>
        <w:jc w:val="both"/>
        <w:rPr>
          <w:u w:val="single"/>
          <w:lang w:val="en-US"/>
        </w:rPr>
      </w:pPr>
      <w:r w:rsidRPr="008A2E09">
        <w:rPr>
          <w:u w:val="single"/>
          <w:lang w:val="en-US"/>
        </w:rPr>
        <w:t>All deliverables must be produced in English.</w:t>
      </w:r>
    </w:p>
    <w:p w14:paraId="75B2D4FA" w14:textId="77777777" w:rsidR="00B2098E" w:rsidRPr="00701EFD" w:rsidRDefault="00B2098E" w:rsidP="00DB6D20">
      <w:pPr>
        <w:numPr>
          <w:ilvl w:val="0"/>
          <w:numId w:val="3"/>
        </w:numPr>
        <w:autoSpaceDE w:val="0"/>
        <w:autoSpaceDN w:val="0"/>
        <w:adjustRightInd w:val="0"/>
        <w:spacing w:before="0" w:after="0"/>
        <w:jc w:val="both"/>
        <w:rPr>
          <w:rFonts w:cs="Saira"/>
          <w:color w:val="000000"/>
          <w:szCs w:val="20"/>
          <w:lang w:val="en-US"/>
        </w:rPr>
      </w:pPr>
    </w:p>
    <w:p w14:paraId="155757AE" w14:textId="2A251977" w:rsidR="00147F90" w:rsidRPr="00701EFD" w:rsidRDefault="00147F90" w:rsidP="00DB6D20">
      <w:pPr>
        <w:spacing w:before="0" w:after="0"/>
        <w:jc w:val="both"/>
        <w:rPr>
          <w:b/>
          <w:bCs/>
          <w:sz w:val="32"/>
          <w:szCs w:val="32"/>
          <w:lang w:val="en-US"/>
        </w:rPr>
      </w:pPr>
      <w:r w:rsidRPr="00701EFD">
        <w:rPr>
          <w:b/>
          <w:bCs/>
          <w:sz w:val="32"/>
          <w:szCs w:val="32"/>
          <w:lang w:val="en-US"/>
        </w:rPr>
        <w:t>8. Process and timeline</w:t>
      </w:r>
    </w:p>
    <w:p w14:paraId="21B589AE" w14:textId="77777777" w:rsidR="003D2AAD" w:rsidRPr="00701EFD" w:rsidRDefault="003D2AAD" w:rsidP="00DB6D20">
      <w:pPr>
        <w:spacing w:before="0" w:after="0"/>
        <w:jc w:val="both"/>
        <w:rPr>
          <w:rFonts w:cs="Calibri"/>
          <w:sz w:val="22"/>
          <w:lang w:val="en-US"/>
        </w:rPr>
      </w:pPr>
    </w:p>
    <w:p w14:paraId="1247A4FC" w14:textId="39792415" w:rsidR="009338AE" w:rsidRPr="00701EFD" w:rsidRDefault="009D01DC" w:rsidP="00DB6D20">
      <w:pPr>
        <w:spacing w:before="0" w:after="0"/>
        <w:jc w:val="both"/>
        <w:rPr>
          <w:lang w:val="en-US"/>
        </w:rPr>
      </w:pPr>
      <w:r w:rsidRPr="00701EFD">
        <w:rPr>
          <w:lang w:val="en-US"/>
        </w:rPr>
        <w:t xml:space="preserve">The evaluation is expected to take place during </w:t>
      </w:r>
      <w:r w:rsidR="00864D48" w:rsidRPr="00701EFD">
        <w:rPr>
          <w:lang w:val="en-US"/>
        </w:rPr>
        <w:t>Q</w:t>
      </w:r>
      <w:r w:rsidR="00925B73" w:rsidRPr="00701EFD">
        <w:rPr>
          <w:lang w:val="en-US"/>
        </w:rPr>
        <w:t>3 and Q</w:t>
      </w:r>
      <w:r w:rsidR="00864D48" w:rsidRPr="00701EFD">
        <w:rPr>
          <w:lang w:val="en-US"/>
        </w:rPr>
        <w:t>4</w:t>
      </w:r>
      <w:r w:rsidRPr="00701EFD">
        <w:rPr>
          <w:lang w:val="en-US"/>
        </w:rPr>
        <w:t xml:space="preserve"> of 2021</w:t>
      </w:r>
      <w:r w:rsidR="00864D48" w:rsidRPr="00701EFD">
        <w:rPr>
          <w:lang w:val="en-US"/>
        </w:rPr>
        <w:t xml:space="preserve">.  </w:t>
      </w:r>
      <w:r w:rsidRPr="00701EFD">
        <w:rPr>
          <w:lang w:val="en-US"/>
        </w:rPr>
        <w:t>Any delays that may result from events beyond DCAF’s and</w:t>
      </w:r>
      <w:r w:rsidR="009338AE" w:rsidRPr="00701EFD">
        <w:rPr>
          <w:lang w:val="en-US"/>
        </w:rPr>
        <w:t xml:space="preserve"> </w:t>
      </w:r>
      <w:r w:rsidRPr="00701EFD">
        <w:rPr>
          <w:lang w:val="en-US"/>
        </w:rPr>
        <w:t xml:space="preserve">/or the selected evaluator’s control, shall be mutually communicated and agreed upon. </w:t>
      </w:r>
    </w:p>
    <w:p w14:paraId="7F345854" w14:textId="162D7DA3" w:rsidR="00864D48" w:rsidRPr="00701EFD" w:rsidRDefault="00864D48" w:rsidP="00DB6D20">
      <w:pPr>
        <w:spacing w:before="0" w:after="0"/>
        <w:jc w:val="both"/>
        <w:rPr>
          <w:lang w:val="en-US"/>
        </w:rPr>
      </w:pPr>
    </w:p>
    <w:p w14:paraId="0BF3225F" w14:textId="72601563" w:rsidR="00864D48" w:rsidRPr="00701EFD" w:rsidRDefault="00864D48" w:rsidP="00DB6D20">
      <w:pPr>
        <w:autoSpaceDE w:val="0"/>
        <w:autoSpaceDN w:val="0"/>
        <w:adjustRightInd w:val="0"/>
        <w:spacing w:before="0" w:after="0"/>
        <w:jc w:val="both"/>
        <w:rPr>
          <w:lang w:val="en-US"/>
        </w:rPr>
      </w:pPr>
      <w:r w:rsidRPr="00701EFD">
        <w:rPr>
          <w:lang w:val="en-US"/>
        </w:rPr>
        <w:t xml:space="preserve">The tentative TE timeframe is as follows: </w:t>
      </w:r>
    </w:p>
    <w:p w14:paraId="6DBE8E89" w14:textId="77777777" w:rsidR="00864D48" w:rsidRPr="00701EFD" w:rsidRDefault="00864D48" w:rsidP="00DB6D20">
      <w:pPr>
        <w:autoSpaceDE w:val="0"/>
        <w:autoSpaceDN w:val="0"/>
        <w:adjustRightInd w:val="0"/>
        <w:spacing w:before="0" w:after="51"/>
        <w:jc w:val="both"/>
        <w:rPr>
          <w:lang w:val="en-US"/>
        </w:rPr>
      </w:pPr>
    </w:p>
    <w:p w14:paraId="7B64F72C" w14:textId="7769F964" w:rsidR="0008749E" w:rsidRPr="00701EFD" w:rsidRDefault="0008749E" w:rsidP="00DB6D20">
      <w:pPr>
        <w:pStyle w:val="ListParagraph"/>
        <w:numPr>
          <w:ilvl w:val="0"/>
          <w:numId w:val="10"/>
        </w:numPr>
        <w:autoSpaceDE w:val="0"/>
        <w:autoSpaceDN w:val="0"/>
        <w:adjustRightInd w:val="0"/>
        <w:spacing w:before="0" w:after="51"/>
        <w:jc w:val="both"/>
        <w:rPr>
          <w:lang w:val="en-US"/>
        </w:rPr>
      </w:pPr>
      <w:r w:rsidRPr="00701EFD">
        <w:rPr>
          <w:lang w:val="en-US"/>
        </w:rPr>
        <w:t xml:space="preserve">August </w:t>
      </w:r>
      <w:r w:rsidR="003F448B" w:rsidRPr="00701EFD">
        <w:rPr>
          <w:lang w:val="en-US"/>
        </w:rPr>
        <w:t>20th</w:t>
      </w:r>
      <w:r w:rsidR="00864D48" w:rsidRPr="00701EFD">
        <w:rPr>
          <w:lang w:val="en-US"/>
        </w:rPr>
        <w:t xml:space="preserve">: Application closes </w:t>
      </w:r>
    </w:p>
    <w:p w14:paraId="444A9951" w14:textId="16A71077" w:rsidR="00864D48" w:rsidRPr="00701EFD" w:rsidRDefault="00B37943" w:rsidP="00DB6D20">
      <w:pPr>
        <w:pStyle w:val="ListParagraph"/>
        <w:numPr>
          <w:ilvl w:val="0"/>
          <w:numId w:val="10"/>
        </w:numPr>
        <w:autoSpaceDE w:val="0"/>
        <w:autoSpaceDN w:val="0"/>
        <w:adjustRightInd w:val="0"/>
        <w:spacing w:before="0" w:after="51"/>
        <w:jc w:val="both"/>
        <w:rPr>
          <w:lang w:val="en-US"/>
        </w:rPr>
      </w:pPr>
      <w:r w:rsidRPr="00701EFD">
        <w:rPr>
          <w:lang w:val="en-US"/>
        </w:rPr>
        <w:t xml:space="preserve">4th week </w:t>
      </w:r>
      <w:r w:rsidR="0008749E" w:rsidRPr="00701EFD">
        <w:rPr>
          <w:lang w:val="en-US"/>
        </w:rPr>
        <w:t>of August</w:t>
      </w:r>
      <w:r w:rsidR="00864D48" w:rsidRPr="00701EFD">
        <w:rPr>
          <w:lang w:val="en-US"/>
        </w:rPr>
        <w:t xml:space="preserve">: Selection </w:t>
      </w:r>
      <w:r w:rsidR="00CD3D57" w:rsidRPr="00701EFD">
        <w:rPr>
          <w:lang w:val="en-US"/>
        </w:rPr>
        <w:t xml:space="preserve">and contracting </w:t>
      </w:r>
      <w:r w:rsidR="00864D48" w:rsidRPr="00701EFD">
        <w:rPr>
          <w:lang w:val="en-US"/>
        </w:rPr>
        <w:t>of evaluators</w:t>
      </w:r>
    </w:p>
    <w:p w14:paraId="1222E1D2" w14:textId="17620864" w:rsidR="00864D48" w:rsidRPr="00701EFD" w:rsidRDefault="003F448B" w:rsidP="00DB6D20">
      <w:pPr>
        <w:pStyle w:val="ListParagraph"/>
        <w:numPr>
          <w:ilvl w:val="0"/>
          <w:numId w:val="10"/>
        </w:numPr>
        <w:autoSpaceDE w:val="0"/>
        <w:autoSpaceDN w:val="0"/>
        <w:adjustRightInd w:val="0"/>
        <w:spacing w:before="0" w:after="51"/>
        <w:jc w:val="both"/>
        <w:rPr>
          <w:lang w:val="en-US"/>
        </w:rPr>
      </w:pPr>
      <w:r w:rsidRPr="00701EFD">
        <w:rPr>
          <w:lang w:val="en-US"/>
        </w:rPr>
        <w:t>1</w:t>
      </w:r>
      <w:r w:rsidR="00B37943" w:rsidRPr="00701EFD">
        <w:rPr>
          <w:lang w:val="en-US"/>
        </w:rPr>
        <w:t xml:space="preserve">st </w:t>
      </w:r>
      <w:r w:rsidR="0008749E" w:rsidRPr="00701EFD">
        <w:rPr>
          <w:lang w:val="en-US"/>
        </w:rPr>
        <w:t xml:space="preserve">week of </w:t>
      </w:r>
      <w:r w:rsidRPr="00701EFD">
        <w:rPr>
          <w:lang w:val="en-US"/>
        </w:rPr>
        <w:t>Sep</w:t>
      </w:r>
      <w:r w:rsidR="00A00B82" w:rsidRPr="00701EFD">
        <w:rPr>
          <w:lang w:val="en-US"/>
        </w:rPr>
        <w:t>tember</w:t>
      </w:r>
      <w:r w:rsidR="0008749E" w:rsidRPr="00701EFD">
        <w:rPr>
          <w:lang w:val="en-US"/>
        </w:rPr>
        <w:t>:</w:t>
      </w:r>
      <w:r w:rsidR="00864D48" w:rsidRPr="00701EFD">
        <w:rPr>
          <w:lang w:val="en-US"/>
        </w:rPr>
        <w:t xml:space="preserve"> Prep</w:t>
      </w:r>
      <w:r w:rsidR="005E3FA0" w:rsidRPr="00701EFD">
        <w:rPr>
          <w:lang w:val="en-US"/>
        </w:rPr>
        <w:t>aration of</w:t>
      </w:r>
      <w:r w:rsidR="00864D48" w:rsidRPr="00701EFD">
        <w:rPr>
          <w:lang w:val="en-US"/>
        </w:rPr>
        <w:t xml:space="preserve"> the evaluator(s)</w:t>
      </w:r>
      <w:r w:rsidR="0008749E" w:rsidRPr="00701EFD">
        <w:rPr>
          <w:lang w:val="en-US"/>
        </w:rPr>
        <w:t>, provision</w:t>
      </w:r>
      <w:r w:rsidR="00864D48" w:rsidRPr="00701EFD">
        <w:rPr>
          <w:lang w:val="en-US"/>
        </w:rPr>
        <w:t xml:space="preserve"> of project documents</w:t>
      </w:r>
    </w:p>
    <w:p w14:paraId="19297928" w14:textId="227139E0" w:rsidR="00864D48" w:rsidRPr="00701EFD" w:rsidRDefault="00A00B82" w:rsidP="00DB6D20">
      <w:pPr>
        <w:pStyle w:val="ListParagraph"/>
        <w:numPr>
          <w:ilvl w:val="0"/>
          <w:numId w:val="10"/>
        </w:numPr>
        <w:autoSpaceDE w:val="0"/>
        <w:autoSpaceDN w:val="0"/>
        <w:adjustRightInd w:val="0"/>
        <w:spacing w:before="0" w:after="51"/>
        <w:jc w:val="both"/>
        <w:rPr>
          <w:lang w:val="en-US"/>
        </w:rPr>
      </w:pPr>
      <w:r w:rsidRPr="00701EFD">
        <w:rPr>
          <w:lang w:val="en-US"/>
        </w:rPr>
        <w:t xml:space="preserve">2nd </w:t>
      </w:r>
      <w:r w:rsidR="0008749E" w:rsidRPr="00701EFD">
        <w:rPr>
          <w:lang w:val="en-US"/>
        </w:rPr>
        <w:t>week of September</w:t>
      </w:r>
      <w:r w:rsidR="00CD3D57" w:rsidRPr="00701EFD">
        <w:rPr>
          <w:lang w:val="en-US"/>
        </w:rPr>
        <w:t xml:space="preserve">: </w:t>
      </w:r>
      <w:r w:rsidR="005E3FA0" w:rsidRPr="00701EFD">
        <w:rPr>
          <w:lang w:val="en-US"/>
        </w:rPr>
        <w:t>D</w:t>
      </w:r>
      <w:r w:rsidR="00864D48" w:rsidRPr="00701EFD">
        <w:rPr>
          <w:lang w:val="en-US"/>
        </w:rPr>
        <w:t xml:space="preserve">ocument review and preparing Inception Report </w:t>
      </w:r>
    </w:p>
    <w:p w14:paraId="51A912DB" w14:textId="0E2CB26E" w:rsidR="00864D48" w:rsidRPr="00701EFD" w:rsidRDefault="00EE5BA7" w:rsidP="00DB6D20">
      <w:pPr>
        <w:pStyle w:val="ListParagraph"/>
        <w:numPr>
          <w:ilvl w:val="0"/>
          <w:numId w:val="10"/>
        </w:numPr>
        <w:autoSpaceDE w:val="0"/>
        <w:autoSpaceDN w:val="0"/>
        <w:adjustRightInd w:val="0"/>
        <w:spacing w:before="0" w:after="51"/>
        <w:jc w:val="both"/>
        <w:rPr>
          <w:lang w:val="en-US"/>
        </w:rPr>
      </w:pPr>
      <w:r w:rsidRPr="00701EFD">
        <w:rPr>
          <w:lang w:val="en-US"/>
        </w:rPr>
        <w:t>3rd week of Sep</w:t>
      </w:r>
      <w:r w:rsidR="00A00B82" w:rsidRPr="00701EFD">
        <w:rPr>
          <w:lang w:val="en-US"/>
        </w:rPr>
        <w:t>tember:</w:t>
      </w:r>
      <w:r w:rsidR="00864D48" w:rsidRPr="00701EFD">
        <w:rPr>
          <w:lang w:val="en-US"/>
        </w:rPr>
        <w:t xml:space="preserve"> Finalization of Inception Report</w:t>
      </w:r>
      <w:r w:rsidR="005E3FA0" w:rsidRPr="00701EFD">
        <w:rPr>
          <w:lang w:val="en-US"/>
        </w:rPr>
        <w:t xml:space="preserve"> </w:t>
      </w:r>
    </w:p>
    <w:p w14:paraId="60F1A953" w14:textId="14E1A7B6" w:rsidR="00864D48" w:rsidRPr="00701EFD" w:rsidRDefault="00EE5BA7" w:rsidP="00DB6D20">
      <w:pPr>
        <w:pStyle w:val="ListParagraph"/>
        <w:numPr>
          <w:ilvl w:val="0"/>
          <w:numId w:val="10"/>
        </w:numPr>
        <w:autoSpaceDE w:val="0"/>
        <w:autoSpaceDN w:val="0"/>
        <w:adjustRightInd w:val="0"/>
        <w:spacing w:before="0" w:after="51"/>
        <w:jc w:val="both"/>
        <w:rPr>
          <w:lang w:val="en-US"/>
        </w:rPr>
      </w:pPr>
      <w:r w:rsidRPr="00701EFD">
        <w:rPr>
          <w:lang w:val="en-US"/>
        </w:rPr>
        <w:t xml:space="preserve">From 3rd </w:t>
      </w:r>
      <w:r w:rsidR="00D27FC5" w:rsidRPr="00701EFD">
        <w:rPr>
          <w:lang w:val="en-US"/>
        </w:rPr>
        <w:t xml:space="preserve">of September: </w:t>
      </w:r>
      <w:r w:rsidR="00864D48" w:rsidRPr="00701EFD">
        <w:rPr>
          <w:lang w:val="en-US"/>
        </w:rPr>
        <w:t xml:space="preserve"> </w:t>
      </w:r>
      <w:r w:rsidR="005E3FA0" w:rsidRPr="00701EFD">
        <w:rPr>
          <w:lang w:val="en-US"/>
        </w:rPr>
        <w:t>I</w:t>
      </w:r>
      <w:r w:rsidR="00864D48" w:rsidRPr="00701EFD">
        <w:rPr>
          <w:lang w:val="en-US"/>
        </w:rPr>
        <w:t xml:space="preserve">nterviews </w:t>
      </w:r>
      <w:r w:rsidR="005E3FA0" w:rsidRPr="00701EFD">
        <w:rPr>
          <w:lang w:val="en-US"/>
        </w:rPr>
        <w:t xml:space="preserve">and written correspondence with stakeholders </w:t>
      </w:r>
    </w:p>
    <w:p w14:paraId="31F9BC54" w14:textId="69272D07" w:rsidR="00864D48" w:rsidRPr="00701EFD" w:rsidRDefault="00EE5BA7" w:rsidP="00DB6D20">
      <w:pPr>
        <w:pStyle w:val="ListParagraph"/>
        <w:numPr>
          <w:ilvl w:val="0"/>
          <w:numId w:val="10"/>
        </w:numPr>
        <w:autoSpaceDE w:val="0"/>
        <w:autoSpaceDN w:val="0"/>
        <w:adjustRightInd w:val="0"/>
        <w:spacing w:before="0" w:after="51"/>
        <w:jc w:val="both"/>
        <w:rPr>
          <w:lang w:val="en-US"/>
        </w:rPr>
      </w:pPr>
      <w:r w:rsidRPr="00701EFD">
        <w:rPr>
          <w:lang w:val="en-US"/>
        </w:rPr>
        <w:t>End of October:</w:t>
      </w:r>
      <w:r w:rsidR="00864D48" w:rsidRPr="00701EFD">
        <w:rPr>
          <w:lang w:val="en-US"/>
        </w:rPr>
        <w:t xml:space="preserve"> Presentation of initial findings </w:t>
      </w:r>
    </w:p>
    <w:p w14:paraId="54BAC0ED" w14:textId="36DED8D4" w:rsidR="00864D48" w:rsidRPr="00701EFD" w:rsidRDefault="00EE5BA7" w:rsidP="00DB6D20">
      <w:pPr>
        <w:pStyle w:val="ListParagraph"/>
        <w:numPr>
          <w:ilvl w:val="0"/>
          <w:numId w:val="10"/>
        </w:numPr>
        <w:autoSpaceDE w:val="0"/>
        <w:autoSpaceDN w:val="0"/>
        <w:adjustRightInd w:val="0"/>
        <w:spacing w:before="0" w:after="51"/>
        <w:jc w:val="both"/>
        <w:rPr>
          <w:lang w:val="en-US"/>
        </w:rPr>
      </w:pPr>
      <w:r w:rsidRPr="00701EFD">
        <w:rPr>
          <w:lang w:val="en-US"/>
        </w:rPr>
        <w:t>Mid</w:t>
      </w:r>
      <w:r w:rsidR="00D27FC5" w:rsidRPr="00701EFD">
        <w:rPr>
          <w:lang w:val="en-US"/>
        </w:rPr>
        <w:t>-</w:t>
      </w:r>
      <w:r w:rsidRPr="00701EFD">
        <w:rPr>
          <w:lang w:val="en-US"/>
        </w:rPr>
        <w:t>November</w:t>
      </w:r>
      <w:r w:rsidR="00864D48" w:rsidRPr="00701EFD">
        <w:rPr>
          <w:lang w:val="en-US"/>
        </w:rPr>
        <w:t xml:space="preserve">: Preparation of draft report </w:t>
      </w:r>
    </w:p>
    <w:p w14:paraId="1B8818D8" w14:textId="344A8DCB" w:rsidR="00864D48" w:rsidRPr="00701EFD" w:rsidRDefault="00D27FC5" w:rsidP="00DB6D20">
      <w:pPr>
        <w:pStyle w:val="ListParagraph"/>
        <w:numPr>
          <w:ilvl w:val="0"/>
          <w:numId w:val="10"/>
        </w:numPr>
        <w:autoSpaceDE w:val="0"/>
        <w:autoSpaceDN w:val="0"/>
        <w:adjustRightInd w:val="0"/>
        <w:spacing w:before="0" w:after="51"/>
        <w:jc w:val="both"/>
        <w:rPr>
          <w:lang w:val="en-US"/>
        </w:rPr>
      </w:pPr>
      <w:r w:rsidRPr="00701EFD">
        <w:rPr>
          <w:lang w:val="en-US"/>
        </w:rPr>
        <w:t>E</w:t>
      </w:r>
      <w:r w:rsidR="00EE5BA7" w:rsidRPr="00701EFD">
        <w:rPr>
          <w:lang w:val="en-US"/>
        </w:rPr>
        <w:t xml:space="preserve">nd </w:t>
      </w:r>
      <w:r w:rsidRPr="00701EFD">
        <w:rPr>
          <w:lang w:val="en-US"/>
        </w:rPr>
        <w:t xml:space="preserve">of November: </w:t>
      </w:r>
      <w:r w:rsidR="00864D48" w:rsidRPr="00701EFD">
        <w:rPr>
          <w:lang w:val="en-US"/>
        </w:rPr>
        <w:t xml:space="preserve">Circulation of draft TE report for comments </w:t>
      </w:r>
    </w:p>
    <w:p w14:paraId="4F2DDAA7" w14:textId="6E94F13E" w:rsidR="00864D48" w:rsidRPr="00701EFD" w:rsidRDefault="00D27FC5" w:rsidP="00DB6D20">
      <w:pPr>
        <w:pStyle w:val="ListParagraph"/>
        <w:numPr>
          <w:ilvl w:val="0"/>
          <w:numId w:val="10"/>
        </w:numPr>
        <w:autoSpaceDE w:val="0"/>
        <w:autoSpaceDN w:val="0"/>
        <w:adjustRightInd w:val="0"/>
        <w:spacing w:before="0" w:after="51"/>
        <w:jc w:val="both"/>
        <w:rPr>
          <w:lang w:val="en-US"/>
        </w:rPr>
      </w:pPr>
      <w:r w:rsidRPr="00701EFD">
        <w:rPr>
          <w:lang w:val="en-US"/>
        </w:rPr>
        <w:t>1st week of</w:t>
      </w:r>
      <w:r w:rsidR="00EE5BA7" w:rsidRPr="00701EFD">
        <w:rPr>
          <w:lang w:val="en-US"/>
        </w:rPr>
        <w:t xml:space="preserve"> Dec</w:t>
      </w:r>
      <w:r w:rsidRPr="00701EFD">
        <w:rPr>
          <w:lang w:val="en-US"/>
        </w:rPr>
        <w:t>ember</w:t>
      </w:r>
      <w:r w:rsidR="00864D48" w:rsidRPr="00701EFD">
        <w:rPr>
          <w:lang w:val="en-US"/>
        </w:rPr>
        <w:t xml:space="preserve">: Incorporation of comments on draft report </w:t>
      </w:r>
      <w:r w:rsidR="0008749E" w:rsidRPr="00701EFD">
        <w:rPr>
          <w:lang w:val="en-US"/>
        </w:rPr>
        <w:t>and</w:t>
      </w:r>
      <w:r w:rsidR="00864D48" w:rsidRPr="00701EFD">
        <w:rPr>
          <w:lang w:val="en-US"/>
        </w:rPr>
        <w:t xml:space="preserve"> finalization of report </w:t>
      </w:r>
    </w:p>
    <w:p w14:paraId="43C40380" w14:textId="76753574" w:rsidR="00864D48" w:rsidRPr="00701EFD" w:rsidRDefault="00D27FC5" w:rsidP="00DB6D20">
      <w:pPr>
        <w:pStyle w:val="ListParagraph"/>
        <w:numPr>
          <w:ilvl w:val="0"/>
          <w:numId w:val="10"/>
        </w:numPr>
        <w:autoSpaceDE w:val="0"/>
        <w:autoSpaceDN w:val="0"/>
        <w:adjustRightInd w:val="0"/>
        <w:spacing w:before="0" w:after="51"/>
        <w:jc w:val="both"/>
        <w:rPr>
          <w:lang w:val="en-US"/>
        </w:rPr>
      </w:pPr>
      <w:r w:rsidRPr="00701EFD">
        <w:rPr>
          <w:lang w:val="en-US"/>
        </w:rPr>
        <w:t xml:space="preserve">2nd week of December: </w:t>
      </w:r>
      <w:r w:rsidR="0008749E" w:rsidRPr="00701EFD">
        <w:rPr>
          <w:lang w:val="en-US"/>
        </w:rPr>
        <w:t xml:space="preserve">Final presentation </w:t>
      </w:r>
    </w:p>
    <w:p w14:paraId="1F716E9A" w14:textId="66B67955" w:rsidR="00147F90" w:rsidRPr="00701EFD" w:rsidRDefault="00147F90" w:rsidP="00DB6D20">
      <w:pPr>
        <w:autoSpaceDE w:val="0"/>
        <w:autoSpaceDN w:val="0"/>
        <w:adjustRightInd w:val="0"/>
        <w:spacing w:before="0" w:after="0"/>
        <w:jc w:val="both"/>
        <w:rPr>
          <w:rFonts w:cs="Saira"/>
          <w:color w:val="000000"/>
          <w:szCs w:val="20"/>
          <w:lang w:val="en-US"/>
        </w:rPr>
      </w:pPr>
    </w:p>
    <w:p w14:paraId="348AE526" w14:textId="01599C48" w:rsidR="00147F90" w:rsidRPr="00701EFD" w:rsidRDefault="00147F90" w:rsidP="00DB6D20">
      <w:pPr>
        <w:spacing w:before="0" w:after="0"/>
        <w:jc w:val="both"/>
        <w:rPr>
          <w:rFonts w:cs="Saira ExtraBold"/>
          <w:b/>
          <w:bCs/>
          <w:sz w:val="32"/>
          <w:szCs w:val="32"/>
          <w:lang w:val="en-US"/>
        </w:rPr>
      </w:pPr>
      <w:r w:rsidRPr="00701EFD">
        <w:rPr>
          <w:rFonts w:cs="Saira ExtraBold"/>
          <w:b/>
          <w:bCs/>
          <w:sz w:val="32"/>
          <w:szCs w:val="32"/>
          <w:lang w:val="en-US"/>
        </w:rPr>
        <w:t>9. Criteria for bids (selection of evaluators)</w:t>
      </w:r>
    </w:p>
    <w:p w14:paraId="65CD26EF" w14:textId="4CAF3F49" w:rsidR="00147F90" w:rsidRPr="00701EFD" w:rsidRDefault="00147F90" w:rsidP="00DB6D20">
      <w:pPr>
        <w:spacing w:before="0" w:after="0"/>
        <w:jc w:val="both"/>
        <w:rPr>
          <w:rFonts w:cs="Calibri"/>
          <w:b/>
          <w:bCs/>
          <w:sz w:val="22"/>
          <w:lang w:val="en-US"/>
        </w:rPr>
      </w:pPr>
    </w:p>
    <w:p w14:paraId="1B542C60" w14:textId="56AA889C" w:rsidR="00756106" w:rsidRPr="00701EFD" w:rsidRDefault="009D01DC" w:rsidP="00DB6D20">
      <w:pPr>
        <w:autoSpaceDE w:val="0"/>
        <w:autoSpaceDN w:val="0"/>
        <w:adjustRightInd w:val="0"/>
        <w:spacing w:before="0" w:after="0"/>
        <w:jc w:val="both"/>
        <w:rPr>
          <w:lang w:val="en-US"/>
        </w:rPr>
      </w:pPr>
      <w:r w:rsidRPr="00701EFD">
        <w:rPr>
          <w:lang w:val="en-US"/>
        </w:rPr>
        <w:t>Applicants can be a firm or a group of professional evaluators</w:t>
      </w:r>
      <w:r w:rsidR="00DA7882" w:rsidRPr="00701EFD">
        <w:rPr>
          <w:lang w:val="en-US"/>
        </w:rPr>
        <w:t xml:space="preserve"> (minimum 2 evaluators)</w:t>
      </w:r>
      <w:r w:rsidRPr="00701EFD">
        <w:rPr>
          <w:lang w:val="en-US"/>
        </w:rPr>
        <w:t xml:space="preserve">, who stand in no direct or indirect relationship to DCAF’s current or planned </w:t>
      </w:r>
      <w:r w:rsidR="009338AE" w:rsidRPr="00701EFD">
        <w:rPr>
          <w:lang w:val="en-US"/>
        </w:rPr>
        <w:t xml:space="preserve">external oversight </w:t>
      </w:r>
      <w:r w:rsidRPr="00701EFD">
        <w:rPr>
          <w:lang w:val="en-US"/>
        </w:rPr>
        <w:t>projects.</w:t>
      </w:r>
      <w:r w:rsidR="009338AE" w:rsidRPr="00701EFD">
        <w:rPr>
          <w:lang w:val="en-US"/>
        </w:rPr>
        <w:t xml:space="preserve"> The </w:t>
      </w:r>
      <w:r w:rsidR="00283A46" w:rsidRPr="00701EFD">
        <w:rPr>
          <w:lang w:val="en-US"/>
        </w:rPr>
        <w:t>evaluators</w:t>
      </w:r>
      <w:r w:rsidR="00DA7882" w:rsidRPr="00701EFD">
        <w:rPr>
          <w:lang w:val="en-US"/>
        </w:rPr>
        <w:t xml:space="preserve"> </w:t>
      </w:r>
      <w:r w:rsidR="009338AE" w:rsidRPr="00701EFD">
        <w:rPr>
          <w:lang w:val="en-US"/>
        </w:rPr>
        <w:t xml:space="preserve">also cannot have participated in any of the </w:t>
      </w:r>
      <w:r w:rsidR="0008749E" w:rsidRPr="00701EFD">
        <w:rPr>
          <w:lang w:val="en-US"/>
        </w:rPr>
        <w:t>projects’</w:t>
      </w:r>
      <w:r w:rsidR="009338AE" w:rsidRPr="00701EFD">
        <w:rPr>
          <w:lang w:val="en-US"/>
        </w:rPr>
        <w:t xml:space="preserve"> formulation and/or implementation, </w:t>
      </w:r>
      <w:r w:rsidR="009338AE" w:rsidRPr="00701EFD">
        <w:rPr>
          <w:lang w:val="en-US"/>
        </w:rPr>
        <w:lastRenderedPageBreak/>
        <w:t>must not have conducted projects’ midterm or terminal evaluations or reviews, and should not have a conflict of interest with the projects’ related activities.</w:t>
      </w:r>
    </w:p>
    <w:p w14:paraId="0527700E" w14:textId="77777777" w:rsidR="009338AE" w:rsidRPr="00701EFD" w:rsidRDefault="009338AE" w:rsidP="00DB6D20">
      <w:pPr>
        <w:autoSpaceDE w:val="0"/>
        <w:autoSpaceDN w:val="0"/>
        <w:adjustRightInd w:val="0"/>
        <w:spacing w:before="0" w:after="0"/>
        <w:jc w:val="both"/>
        <w:rPr>
          <w:rFonts w:cs="Calibri"/>
          <w:color w:val="000000"/>
          <w:sz w:val="22"/>
          <w:lang w:val="en-US"/>
        </w:rPr>
      </w:pPr>
    </w:p>
    <w:p w14:paraId="7D167BEA" w14:textId="23365F2F" w:rsidR="00EA481A" w:rsidRPr="00701EFD" w:rsidRDefault="009D01DC" w:rsidP="00DB6D20">
      <w:pPr>
        <w:autoSpaceDE w:val="0"/>
        <w:autoSpaceDN w:val="0"/>
        <w:adjustRightInd w:val="0"/>
        <w:spacing w:before="0" w:after="0"/>
        <w:jc w:val="both"/>
        <w:rPr>
          <w:lang w:val="en-US"/>
        </w:rPr>
      </w:pPr>
      <w:r w:rsidRPr="00701EFD">
        <w:rPr>
          <w:lang w:val="en-US"/>
        </w:rPr>
        <w:t xml:space="preserve">The proposed </w:t>
      </w:r>
      <w:r w:rsidR="00283A46" w:rsidRPr="00701EFD">
        <w:rPr>
          <w:lang w:val="en-US"/>
        </w:rPr>
        <w:t>evaluators</w:t>
      </w:r>
      <w:r w:rsidR="00DA7882" w:rsidRPr="00701EFD">
        <w:rPr>
          <w:lang w:val="en-US"/>
        </w:rPr>
        <w:t xml:space="preserve"> </w:t>
      </w:r>
      <w:r w:rsidRPr="00701EFD">
        <w:rPr>
          <w:lang w:val="en-US"/>
        </w:rPr>
        <w:t xml:space="preserve">shall have demonstrable experience in </w:t>
      </w:r>
      <w:r w:rsidR="00EA481A" w:rsidRPr="00701EFD">
        <w:rPr>
          <w:lang w:val="en-US"/>
        </w:rPr>
        <w:t>conducting thematic</w:t>
      </w:r>
      <w:r w:rsidRPr="00701EFD">
        <w:rPr>
          <w:lang w:val="en-US"/>
        </w:rPr>
        <w:t xml:space="preserve"> evaluation</w:t>
      </w:r>
      <w:r w:rsidR="001B02A8" w:rsidRPr="00701EFD">
        <w:rPr>
          <w:lang w:val="en-US"/>
        </w:rPr>
        <w:t>s</w:t>
      </w:r>
      <w:r w:rsidRPr="00701EFD">
        <w:rPr>
          <w:lang w:val="en-US"/>
        </w:rPr>
        <w:t>, including evaluating projects</w:t>
      </w:r>
      <w:r w:rsidR="00EA481A" w:rsidRPr="00701EFD">
        <w:rPr>
          <w:lang w:val="en-US"/>
        </w:rPr>
        <w:t xml:space="preserve"> or </w:t>
      </w:r>
      <w:proofErr w:type="spellStart"/>
      <w:r w:rsidR="00EA481A" w:rsidRPr="00701EFD">
        <w:rPr>
          <w:lang w:val="en-US"/>
        </w:rPr>
        <w:t>programmes</w:t>
      </w:r>
      <w:proofErr w:type="spellEnd"/>
      <w:r w:rsidRPr="00701EFD">
        <w:rPr>
          <w:lang w:val="en-US"/>
        </w:rPr>
        <w:t xml:space="preserve"> </w:t>
      </w:r>
      <w:r w:rsidR="00EA481A" w:rsidRPr="00701EFD">
        <w:rPr>
          <w:lang w:val="en-US"/>
        </w:rPr>
        <w:t>related to</w:t>
      </w:r>
      <w:r w:rsidRPr="00701EFD">
        <w:rPr>
          <w:lang w:val="en-US"/>
        </w:rPr>
        <w:t xml:space="preserve"> </w:t>
      </w:r>
      <w:r w:rsidR="00EA481A" w:rsidRPr="00701EFD">
        <w:rPr>
          <w:lang w:val="en-US"/>
        </w:rPr>
        <w:t>external oversight actors</w:t>
      </w:r>
      <w:r w:rsidRPr="00701EFD">
        <w:rPr>
          <w:lang w:val="en-US"/>
        </w:rPr>
        <w:t xml:space="preserve"> in the security sector. The proposed </w:t>
      </w:r>
      <w:r w:rsidR="00283A46" w:rsidRPr="00701EFD">
        <w:rPr>
          <w:lang w:val="en-US"/>
        </w:rPr>
        <w:t>evaluators</w:t>
      </w:r>
      <w:r w:rsidR="00DA7882" w:rsidRPr="00701EFD">
        <w:rPr>
          <w:lang w:val="en-US"/>
        </w:rPr>
        <w:t xml:space="preserve"> </w:t>
      </w:r>
      <w:r w:rsidRPr="00701EFD">
        <w:rPr>
          <w:lang w:val="en-US"/>
        </w:rPr>
        <w:t xml:space="preserve">should be able to work in English. Ability to </w:t>
      </w:r>
      <w:r w:rsidR="001B02A8" w:rsidRPr="00701EFD">
        <w:rPr>
          <w:lang w:val="en-US"/>
        </w:rPr>
        <w:t xml:space="preserve">also </w:t>
      </w:r>
      <w:r w:rsidRPr="00701EFD">
        <w:rPr>
          <w:lang w:val="en-US"/>
        </w:rPr>
        <w:t xml:space="preserve">work in </w:t>
      </w:r>
      <w:r w:rsidR="00EA481A" w:rsidRPr="00701EFD">
        <w:rPr>
          <w:lang w:val="en-US"/>
        </w:rPr>
        <w:t>French and Spanish</w:t>
      </w:r>
      <w:r w:rsidRPr="00701EFD">
        <w:rPr>
          <w:lang w:val="en-US"/>
        </w:rPr>
        <w:t xml:space="preserve"> would be a distinct advantage.</w:t>
      </w:r>
    </w:p>
    <w:p w14:paraId="675E7271" w14:textId="70CA945C" w:rsidR="00CD3D57" w:rsidRPr="00701EFD" w:rsidRDefault="009D01DC" w:rsidP="00DB6D20">
      <w:pPr>
        <w:autoSpaceDE w:val="0"/>
        <w:autoSpaceDN w:val="0"/>
        <w:adjustRightInd w:val="0"/>
        <w:spacing w:before="0" w:after="0"/>
        <w:jc w:val="both"/>
        <w:rPr>
          <w:rFonts w:cs="Calibri"/>
          <w:color w:val="000000"/>
          <w:sz w:val="22"/>
          <w:lang w:val="en-US"/>
        </w:rPr>
      </w:pPr>
      <w:r w:rsidRPr="00701EFD">
        <w:rPr>
          <w:rFonts w:cs="Calibri"/>
          <w:color w:val="000000"/>
          <w:sz w:val="22"/>
          <w:lang w:val="en-US"/>
        </w:rPr>
        <w:t xml:space="preserve"> </w:t>
      </w:r>
    </w:p>
    <w:p w14:paraId="5256F2B9" w14:textId="0FC901FA" w:rsidR="00CD3D57" w:rsidRPr="00701EFD" w:rsidRDefault="00CD3D57" w:rsidP="00DB6D20">
      <w:pPr>
        <w:autoSpaceDE w:val="0"/>
        <w:autoSpaceDN w:val="0"/>
        <w:adjustRightInd w:val="0"/>
        <w:spacing w:before="0" w:after="0"/>
        <w:jc w:val="both"/>
        <w:rPr>
          <w:rFonts w:cs="Saira ExtraBold"/>
          <w:b/>
          <w:bCs/>
          <w:sz w:val="32"/>
          <w:szCs w:val="32"/>
          <w:lang w:val="en-US"/>
        </w:rPr>
      </w:pPr>
      <w:r w:rsidRPr="00701EFD">
        <w:rPr>
          <w:rFonts w:cs="Saira ExtraBold"/>
          <w:b/>
          <w:bCs/>
          <w:sz w:val="32"/>
          <w:szCs w:val="32"/>
          <w:lang w:val="en-US"/>
        </w:rPr>
        <w:t>10. Presentation of proposal</w:t>
      </w:r>
    </w:p>
    <w:p w14:paraId="33652E2B" w14:textId="77777777" w:rsidR="00CD3D57" w:rsidRPr="00701EFD" w:rsidRDefault="00CD3D57" w:rsidP="00CD3D57">
      <w:pPr>
        <w:autoSpaceDE w:val="0"/>
        <w:autoSpaceDN w:val="0"/>
        <w:adjustRightInd w:val="0"/>
        <w:spacing w:before="0" w:after="0"/>
        <w:rPr>
          <w:rFonts w:cs="Segoe UI"/>
          <w:color w:val="000000"/>
          <w:sz w:val="24"/>
          <w:szCs w:val="24"/>
        </w:rPr>
      </w:pPr>
    </w:p>
    <w:p w14:paraId="3B5039BC" w14:textId="5853C4D4" w:rsidR="00077999" w:rsidRPr="00701EFD" w:rsidRDefault="00077999" w:rsidP="00077999">
      <w:pPr>
        <w:numPr>
          <w:ilvl w:val="0"/>
          <w:numId w:val="12"/>
        </w:numPr>
        <w:autoSpaceDE w:val="0"/>
        <w:autoSpaceDN w:val="0"/>
        <w:adjustRightInd w:val="0"/>
        <w:spacing w:before="0"/>
        <w:rPr>
          <w:rFonts w:cs="Segoe UI"/>
          <w:color w:val="000000"/>
          <w:szCs w:val="20"/>
          <w:lang w:val="en-US"/>
        </w:rPr>
      </w:pPr>
      <w:r w:rsidRPr="00701EFD">
        <w:rPr>
          <w:rFonts w:cs="Segoe UI"/>
          <w:color w:val="000000"/>
          <w:szCs w:val="20"/>
          <w:lang w:val="en-US"/>
        </w:rPr>
        <w:t>a</w:t>
      </w:r>
      <w:r w:rsidR="00CD3D57" w:rsidRPr="00701EFD">
        <w:rPr>
          <w:rFonts w:cs="Segoe UI"/>
          <w:color w:val="000000"/>
          <w:szCs w:val="20"/>
          <w:lang w:val="en-US"/>
        </w:rPr>
        <w:t xml:space="preserve">) </w:t>
      </w:r>
      <w:r w:rsidR="00CD3D57" w:rsidRPr="00701EFD">
        <w:rPr>
          <w:rFonts w:cs="Segoe UI"/>
          <w:b/>
          <w:bCs/>
          <w:color w:val="000000"/>
          <w:szCs w:val="20"/>
          <w:lang w:val="en-US"/>
        </w:rPr>
        <w:t>C</w:t>
      </w:r>
      <w:r w:rsidRPr="00701EFD">
        <w:rPr>
          <w:rFonts w:cs="Segoe UI"/>
          <w:b/>
          <w:bCs/>
          <w:color w:val="000000"/>
          <w:szCs w:val="20"/>
          <w:lang w:val="en-US"/>
        </w:rPr>
        <w:t xml:space="preserve">urricula </w:t>
      </w:r>
      <w:r w:rsidR="00CD3D57" w:rsidRPr="00701EFD">
        <w:rPr>
          <w:rFonts w:cs="Segoe UI"/>
          <w:b/>
          <w:bCs/>
          <w:color w:val="000000"/>
          <w:szCs w:val="20"/>
          <w:lang w:val="en-US"/>
        </w:rPr>
        <w:t>V</w:t>
      </w:r>
      <w:r w:rsidRPr="00701EFD">
        <w:rPr>
          <w:rFonts w:cs="Segoe UI"/>
          <w:b/>
          <w:bCs/>
          <w:color w:val="000000"/>
          <w:szCs w:val="20"/>
          <w:lang w:val="en-US"/>
        </w:rPr>
        <w:t>itae</w:t>
      </w:r>
      <w:r w:rsidR="00B80EBA" w:rsidRPr="00701EFD">
        <w:rPr>
          <w:rFonts w:cs="Segoe UI"/>
          <w:b/>
          <w:bCs/>
          <w:color w:val="000000"/>
          <w:szCs w:val="20"/>
          <w:lang w:val="en-US"/>
        </w:rPr>
        <w:t xml:space="preserve"> </w:t>
      </w:r>
      <w:r w:rsidR="00B80EBA" w:rsidRPr="00701EFD">
        <w:rPr>
          <w:rFonts w:cs="Segoe UI"/>
          <w:color w:val="000000"/>
          <w:szCs w:val="20"/>
          <w:lang w:val="en-US"/>
        </w:rPr>
        <w:t xml:space="preserve">of all applying </w:t>
      </w:r>
      <w:r w:rsidRPr="00701EFD">
        <w:rPr>
          <w:rFonts w:cs="Segoe UI"/>
          <w:color w:val="000000"/>
          <w:szCs w:val="20"/>
          <w:lang w:val="en-US"/>
        </w:rPr>
        <w:t xml:space="preserve">evaluation </w:t>
      </w:r>
      <w:r w:rsidR="00B80EBA" w:rsidRPr="00701EFD">
        <w:rPr>
          <w:rFonts w:cs="Segoe UI"/>
          <w:color w:val="000000"/>
          <w:szCs w:val="20"/>
          <w:lang w:val="en-US"/>
        </w:rPr>
        <w:t>team members</w:t>
      </w:r>
      <w:r w:rsidRPr="00701EFD">
        <w:rPr>
          <w:rFonts w:cs="Segoe UI"/>
          <w:color w:val="000000"/>
          <w:szCs w:val="20"/>
          <w:lang w:val="en-US"/>
        </w:rPr>
        <w:t>.</w:t>
      </w:r>
    </w:p>
    <w:p w14:paraId="6C98E463" w14:textId="20B2EECE" w:rsidR="00B80EBA" w:rsidRPr="00701EFD" w:rsidRDefault="00077999" w:rsidP="00077999">
      <w:pPr>
        <w:numPr>
          <w:ilvl w:val="0"/>
          <w:numId w:val="12"/>
        </w:numPr>
        <w:autoSpaceDE w:val="0"/>
        <w:autoSpaceDN w:val="0"/>
        <w:adjustRightInd w:val="0"/>
        <w:spacing w:before="0"/>
        <w:rPr>
          <w:rFonts w:cs="Segoe UI"/>
          <w:color w:val="000000"/>
          <w:szCs w:val="20"/>
          <w:lang w:val="en-US"/>
        </w:rPr>
      </w:pPr>
      <w:r w:rsidRPr="00701EFD">
        <w:rPr>
          <w:rFonts w:cs="Segoe UI"/>
          <w:color w:val="000000"/>
          <w:szCs w:val="20"/>
          <w:lang w:val="en-US"/>
        </w:rPr>
        <w:t xml:space="preserve">b) </w:t>
      </w:r>
      <w:r w:rsidR="00B80EBA" w:rsidRPr="00701EFD">
        <w:rPr>
          <w:rFonts w:cs="Segoe UI"/>
          <w:b/>
          <w:bCs/>
          <w:color w:val="000000"/>
          <w:szCs w:val="20"/>
          <w:lang w:val="en-US"/>
        </w:rPr>
        <w:t xml:space="preserve">List of similar assignments </w:t>
      </w:r>
      <w:r w:rsidR="00B80EBA" w:rsidRPr="00701EFD">
        <w:rPr>
          <w:rFonts w:cs="Segoe UI"/>
          <w:color w:val="000000"/>
          <w:szCs w:val="20"/>
          <w:lang w:val="en-US"/>
        </w:rPr>
        <w:t>in the past of relevance to this call</w:t>
      </w:r>
      <w:r w:rsidRPr="00701EFD">
        <w:rPr>
          <w:rFonts w:cs="Segoe UI"/>
          <w:color w:val="000000"/>
          <w:szCs w:val="20"/>
          <w:lang w:val="en-US"/>
        </w:rPr>
        <w:t>.</w:t>
      </w:r>
    </w:p>
    <w:p w14:paraId="15294647" w14:textId="24A63109" w:rsidR="00CD3D57" w:rsidRPr="00701EFD" w:rsidRDefault="00CD3D57" w:rsidP="00266D09">
      <w:pPr>
        <w:numPr>
          <w:ilvl w:val="0"/>
          <w:numId w:val="12"/>
        </w:numPr>
        <w:autoSpaceDE w:val="0"/>
        <w:autoSpaceDN w:val="0"/>
        <w:adjustRightInd w:val="0"/>
        <w:spacing w:before="0"/>
        <w:rPr>
          <w:rFonts w:cs="Segoe UI"/>
          <w:color w:val="000000"/>
          <w:szCs w:val="20"/>
          <w:lang w:val="en-US"/>
        </w:rPr>
      </w:pPr>
      <w:r w:rsidRPr="00701EFD">
        <w:rPr>
          <w:rFonts w:cs="Segoe UI"/>
          <w:color w:val="000000"/>
          <w:szCs w:val="20"/>
          <w:lang w:val="en-US"/>
        </w:rPr>
        <w:t xml:space="preserve">c) </w:t>
      </w:r>
      <w:r w:rsidR="00266D09" w:rsidRPr="00701EFD">
        <w:rPr>
          <w:rFonts w:cs="Segoe UI"/>
          <w:b/>
          <w:bCs/>
          <w:color w:val="000000"/>
          <w:szCs w:val="20"/>
          <w:lang w:val="en-US"/>
        </w:rPr>
        <w:t xml:space="preserve">Technical proposal.  </w:t>
      </w:r>
      <w:r w:rsidR="00266D09" w:rsidRPr="00701EFD">
        <w:rPr>
          <w:rFonts w:cs="Segoe UI"/>
          <w:color w:val="000000"/>
          <w:szCs w:val="20"/>
          <w:lang w:val="en-US"/>
        </w:rPr>
        <w:t xml:space="preserve">A </w:t>
      </w:r>
      <w:r w:rsidR="00DF6778" w:rsidRPr="00701EFD">
        <w:rPr>
          <w:rFonts w:cs="Segoe UI"/>
          <w:color w:val="000000"/>
          <w:szCs w:val="20"/>
          <w:lang w:val="en-US"/>
        </w:rPr>
        <w:t>b</w:t>
      </w:r>
      <w:r w:rsidRPr="00701EFD">
        <w:rPr>
          <w:rFonts w:cs="Segoe UI"/>
          <w:color w:val="000000"/>
          <w:szCs w:val="20"/>
          <w:lang w:val="en-US"/>
        </w:rPr>
        <w:t xml:space="preserve">rief description of why the applicants consider themselves as the most suitable for the assignment, and a proposed methodology; (max </w:t>
      </w:r>
      <w:r w:rsidR="00DA7882" w:rsidRPr="00701EFD">
        <w:rPr>
          <w:rFonts w:cs="Segoe UI"/>
          <w:color w:val="000000"/>
          <w:szCs w:val="20"/>
          <w:lang w:val="en-US"/>
        </w:rPr>
        <w:t>2</w:t>
      </w:r>
      <w:r w:rsidRPr="00701EFD">
        <w:rPr>
          <w:rFonts w:cs="Segoe UI"/>
          <w:color w:val="000000"/>
          <w:szCs w:val="20"/>
          <w:lang w:val="en-US"/>
        </w:rPr>
        <w:t xml:space="preserve"> page) </w:t>
      </w:r>
    </w:p>
    <w:p w14:paraId="6B79D91F" w14:textId="6C84AC43" w:rsidR="00CD3D57" w:rsidRPr="00701EFD" w:rsidRDefault="00CD3D57" w:rsidP="00266D09">
      <w:pPr>
        <w:pStyle w:val="Default"/>
        <w:spacing w:after="120"/>
        <w:jc w:val="both"/>
        <w:rPr>
          <w:rFonts w:asciiTheme="minorHAnsi" w:hAnsiTheme="minorHAnsi" w:cs="Segoe UI"/>
          <w:sz w:val="20"/>
          <w:szCs w:val="20"/>
          <w:lang w:val="en-US"/>
        </w:rPr>
      </w:pPr>
      <w:r w:rsidRPr="00701EFD">
        <w:rPr>
          <w:rFonts w:asciiTheme="minorHAnsi" w:hAnsiTheme="minorHAnsi" w:cs="Segoe UI"/>
          <w:sz w:val="20"/>
          <w:szCs w:val="20"/>
          <w:lang w:val="en-US"/>
        </w:rPr>
        <w:t xml:space="preserve">d) </w:t>
      </w:r>
      <w:r w:rsidRPr="00701EFD">
        <w:rPr>
          <w:rFonts w:asciiTheme="minorHAnsi" w:hAnsiTheme="minorHAnsi" w:cs="Segoe UI"/>
          <w:b/>
          <w:bCs/>
          <w:sz w:val="20"/>
          <w:szCs w:val="20"/>
          <w:lang w:val="en-US"/>
        </w:rPr>
        <w:t>Financial Proposal</w:t>
      </w:r>
      <w:r w:rsidR="00DF6778" w:rsidRPr="00701EFD">
        <w:rPr>
          <w:rFonts w:asciiTheme="minorHAnsi" w:hAnsiTheme="minorHAnsi" w:cs="Segoe UI"/>
          <w:b/>
          <w:bCs/>
          <w:sz w:val="20"/>
          <w:szCs w:val="20"/>
          <w:lang w:val="en-US"/>
        </w:rPr>
        <w:t>.</w:t>
      </w:r>
      <w:r w:rsidRPr="00701EFD">
        <w:rPr>
          <w:rFonts w:asciiTheme="minorHAnsi" w:hAnsiTheme="minorHAnsi" w:cs="Segoe UI"/>
          <w:sz w:val="20"/>
          <w:szCs w:val="20"/>
          <w:lang w:val="en-US"/>
        </w:rPr>
        <w:t xml:space="preserve"> </w:t>
      </w:r>
      <w:r w:rsidR="00DF6778" w:rsidRPr="00701EFD">
        <w:rPr>
          <w:rFonts w:asciiTheme="minorHAnsi" w:hAnsiTheme="minorHAnsi" w:cs="Segoe UI"/>
          <w:sz w:val="20"/>
          <w:szCs w:val="20"/>
          <w:lang w:val="en-US"/>
        </w:rPr>
        <w:t xml:space="preserve">Proposal </w:t>
      </w:r>
      <w:r w:rsidRPr="00701EFD">
        <w:rPr>
          <w:rFonts w:asciiTheme="minorHAnsi" w:hAnsiTheme="minorHAnsi" w:cs="Segoe UI"/>
          <w:sz w:val="20"/>
          <w:szCs w:val="20"/>
          <w:lang w:val="en-US"/>
        </w:rPr>
        <w:t>indicat</w:t>
      </w:r>
      <w:r w:rsidR="00DF6778" w:rsidRPr="00701EFD">
        <w:rPr>
          <w:rFonts w:asciiTheme="minorHAnsi" w:hAnsiTheme="minorHAnsi" w:cs="Segoe UI"/>
          <w:sz w:val="20"/>
          <w:szCs w:val="20"/>
          <w:lang w:val="en-US"/>
        </w:rPr>
        <w:t>es</w:t>
      </w:r>
      <w:r w:rsidRPr="00701EFD">
        <w:rPr>
          <w:rFonts w:asciiTheme="minorHAnsi" w:hAnsiTheme="minorHAnsi" w:cs="Segoe UI"/>
          <w:sz w:val="20"/>
          <w:szCs w:val="20"/>
          <w:lang w:val="en-US"/>
        </w:rPr>
        <w:t xml:space="preserve"> </w:t>
      </w:r>
      <w:r w:rsidR="00DF6778" w:rsidRPr="00701EFD">
        <w:rPr>
          <w:rFonts w:asciiTheme="minorHAnsi" w:hAnsiTheme="minorHAnsi" w:cs="Segoe UI"/>
          <w:sz w:val="20"/>
          <w:szCs w:val="20"/>
          <w:lang w:val="en-US"/>
        </w:rPr>
        <w:t>an</w:t>
      </w:r>
      <w:r w:rsidRPr="00701EFD">
        <w:rPr>
          <w:rFonts w:asciiTheme="minorHAnsi" w:hAnsiTheme="minorHAnsi" w:cs="Segoe UI"/>
          <w:sz w:val="20"/>
          <w:szCs w:val="20"/>
          <w:lang w:val="en-US"/>
        </w:rPr>
        <w:t xml:space="preserve"> all-inclusive fixed total contract price, supported by a breakdown of costs (no travel expenditure).</w:t>
      </w:r>
    </w:p>
    <w:p w14:paraId="76B7B413" w14:textId="77777777" w:rsidR="00266D09" w:rsidRPr="00701EFD" w:rsidRDefault="00266D09" w:rsidP="00266D09">
      <w:pPr>
        <w:autoSpaceDE w:val="0"/>
        <w:autoSpaceDN w:val="0"/>
        <w:adjustRightInd w:val="0"/>
        <w:spacing w:before="0" w:after="0"/>
        <w:jc w:val="both"/>
        <w:rPr>
          <w:rFonts w:cs="Calibri"/>
          <w:color w:val="000000"/>
          <w:szCs w:val="20"/>
          <w:lang w:val="en-US"/>
        </w:rPr>
      </w:pPr>
    </w:p>
    <w:p w14:paraId="293BF7F8" w14:textId="03D8D9D7" w:rsidR="00266D09" w:rsidRPr="00701EFD" w:rsidRDefault="00266D09" w:rsidP="00266D09">
      <w:pPr>
        <w:autoSpaceDE w:val="0"/>
        <w:autoSpaceDN w:val="0"/>
        <w:adjustRightInd w:val="0"/>
        <w:spacing w:before="0" w:after="0"/>
        <w:jc w:val="both"/>
        <w:rPr>
          <w:rFonts w:cs="Calibri"/>
          <w:color w:val="000000"/>
          <w:szCs w:val="20"/>
          <w:lang w:val="en-US"/>
        </w:rPr>
      </w:pPr>
      <w:r w:rsidRPr="00701EFD">
        <w:rPr>
          <w:rFonts w:cs="Calibri"/>
          <w:color w:val="000000"/>
          <w:szCs w:val="20"/>
          <w:lang w:val="en-US"/>
        </w:rPr>
        <w:t>Demonstrable experience, language capacity and the technical proposal will represent 70% of the points allocated within the selection process. The financial proposal will represent 30% of the points allocated within the selection process. The applicants receiving the highest combined score</w:t>
      </w:r>
      <w:r w:rsidR="00077999" w:rsidRPr="00701EFD">
        <w:rPr>
          <w:rFonts w:cs="Calibri"/>
          <w:color w:val="000000"/>
          <w:szCs w:val="20"/>
          <w:lang w:val="en-US"/>
        </w:rPr>
        <w:t xml:space="preserve"> </w:t>
      </w:r>
      <w:r w:rsidRPr="00701EFD">
        <w:rPr>
          <w:rFonts w:cs="Calibri"/>
          <w:color w:val="000000"/>
          <w:szCs w:val="20"/>
          <w:lang w:val="en-US"/>
        </w:rPr>
        <w:t>will be awarded the contract</w:t>
      </w:r>
      <w:r w:rsidR="00077999" w:rsidRPr="00701EFD">
        <w:rPr>
          <w:rFonts w:cs="Calibri"/>
          <w:color w:val="000000"/>
          <w:szCs w:val="20"/>
          <w:lang w:val="en-US"/>
        </w:rPr>
        <w:t>.</w:t>
      </w:r>
    </w:p>
    <w:p w14:paraId="37D7BBB5" w14:textId="6A48D808" w:rsidR="00EA481A" w:rsidRPr="00701EFD" w:rsidRDefault="00EA481A" w:rsidP="00DB6D20">
      <w:pPr>
        <w:spacing w:before="0" w:after="0"/>
        <w:jc w:val="both"/>
        <w:rPr>
          <w:szCs w:val="20"/>
          <w:lang w:val="en-US"/>
        </w:rPr>
      </w:pPr>
    </w:p>
    <w:p w14:paraId="128874CF" w14:textId="7A2D6CCA" w:rsidR="0008749E" w:rsidRPr="00701EFD" w:rsidRDefault="0008749E" w:rsidP="00DB6D20">
      <w:pPr>
        <w:numPr>
          <w:ilvl w:val="0"/>
          <w:numId w:val="8"/>
        </w:numPr>
        <w:autoSpaceDE w:val="0"/>
        <w:autoSpaceDN w:val="0"/>
        <w:adjustRightInd w:val="0"/>
        <w:spacing w:before="0" w:after="0"/>
        <w:jc w:val="both"/>
        <w:rPr>
          <w:rFonts w:cs="Segoe UI"/>
          <w:color w:val="000000"/>
          <w:szCs w:val="20"/>
          <w:lang w:val="en-US"/>
        </w:rPr>
      </w:pPr>
      <w:r w:rsidRPr="00701EFD">
        <w:rPr>
          <w:rFonts w:cs="Segoe UI"/>
          <w:color w:val="000000"/>
          <w:szCs w:val="20"/>
          <w:lang w:val="en-US"/>
        </w:rPr>
        <w:t xml:space="preserve">All application materials should be submitted </w:t>
      </w:r>
      <w:r w:rsidR="009C4BD6" w:rsidRPr="00701EFD">
        <w:rPr>
          <w:rFonts w:cs="Segoe UI"/>
          <w:color w:val="000000"/>
          <w:szCs w:val="20"/>
          <w:lang w:val="en-US"/>
        </w:rPr>
        <w:t>by email</w:t>
      </w:r>
      <w:r w:rsidR="00A44DFB" w:rsidRPr="00701EFD" w:rsidDel="009C4BD6">
        <w:rPr>
          <w:rFonts w:cs="Segoe UI"/>
          <w:color w:val="000000"/>
          <w:szCs w:val="20"/>
          <w:lang w:val="en-US"/>
        </w:rPr>
        <w:t xml:space="preserve"> </w:t>
      </w:r>
      <w:r w:rsidR="00A44DFB" w:rsidRPr="00701EFD">
        <w:rPr>
          <w:rFonts w:cs="Segoe UI"/>
          <w:color w:val="000000"/>
          <w:szCs w:val="20"/>
          <w:lang w:val="en-US"/>
        </w:rPr>
        <w:t xml:space="preserve">to the following address ONLY: </w:t>
      </w:r>
      <w:hyperlink r:id="rId13" w:history="1">
        <w:r w:rsidR="00A44DFB" w:rsidRPr="00701EFD">
          <w:rPr>
            <w:rStyle w:val="Hyperlink"/>
            <w:rFonts w:cs="Segoe UI"/>
            <w:szCs w:val="20"/>
            <w:lang w:val="en-US"/>
          </w:rPr>
          <w:t>OPD@dcaf.ch</w:t>
        </w:r>
      </w:hyperlink>
      <w:r w:rsidR="00A44DFB" w:rsidRPr="00701EFD">
        <w:rPr>
          <w:rFonts w:cs="Segoe UI"/>
          <w:color w:val="000000"/>
          <w:szCs w:val="20"/>
          <w:lang w:val="en-US"/>
        </w:rPr>
        <w:t xml:space="preserve"> </w:t>
      </w:r>
      <w:r w:rsidRPr="00701EFD">
        <w:rPr>
          <w:rFonts w:cs="Segoe UI"/>
          <w:color w:val="000000"/>
          <w:szCs w:val="20"/>
          <w:lang w:val="en-US"/>
        </w:rPr>
        <w:t xml:space="preserve">indicating </w:t>
      </w:r>
      <w:r w:rsidR="00A44DFB" w:rsidRPr="00701EFD">
        <w:rPr>
          <w:rFonts w:cs="Segoe UI"/>
          <w:color w:val="000000"/>
          <w:szCs w:val="20"/>
          <w:lang w:val="en-US"/>
        </w:rPr>
        <w:t xml:space="preserve">in the subject line: </w:t>
      </w:r>
      <w:r w:rsidRPr="00701EFD">
        <w:rPr>
          <w:rFonts w:cs="Segoe UI"/>
          <w:color w:val="000000"/>
          <w:szCs w:val="20"/>
          <w:lang w:val="en-US"/>
        </w:rPr>
        <w:t>“</w:t>
      </w:r>
      <w:r w:rsidR="00B80EBA" w:rsidRPr="00701EFD">
        <w:rPr>
          <w:rFonts w:cs="Segoe UI"/>
          <w:color w:val="000000"/>
          <w:szCs w:val="20"/>
          <w:lang w:val="en-US"/>
        </w:rPr>
        <w:t xml:space="preserve">Application: </w:t>
      </w:r>
      <w:r w:rsidR="00CD3D57" w:rsidRPr="00701EFD">
        <w:rPr>
          <w:rFonts w:cs="Segoe UI"/>
          <w:color w:val="000000"/>
          <w:szCs w:val="20"/>
          <w:lang w:val="en-US"/>
        </w:rPr>
        <w:t>Thematic Evaluation on External Oversight of the Security Sector</w:t>
      </w:r>
      <w:r w:rsidR="009C4BD6" w:rsidRPr="00701EFD">
        <w:rPr>
          <w:rFonts w:cs="Segoe UI"/>
          <w:color w:val="000000"/>
          <w:szCs w:val="20"/>
          <w:lang w:val="en-US"/>
        </w:rPr>
        <w:t>,</w:t>
      </w:r>
      <w:r w:rsidRPr="00701EFD">
        <w:rPr>
          <w:rFonts w:cs="Segoe UI"/>
          <w:color w:val="000000"/>
          <w:szCs w:val="20"/>
          <w:lang w:val="en-US"/>
        </w:rPr>
        <w:t xml:space="preserve">” by </w:t>
      </w:r>
      <w:r w:rsidR="00B80EBA" w:rsidRPr="00701EFD">
        <w:rPr>
          <w:rFonts w:cs="Segoe UI"/>
          <w:b/>
          <w:bCs/>
          <w:color w:val="000000"/>
          <w:szCs w:val="20"/>
          <w:lang w:val="en-US"/>
        </w:rPr>
        <w:t>20</w:t>
      </w:r>
      <w:r w:rsidR="00CD3D57" w:rsidRPr="00701EFD">
        <w:rPr>
          <w:rFonts w:cs="Segoe UI"/>
          <w:b/>
          <w:bCs/>
          <w:color w:val="000000"/>
          <w:szCs w:val="20"/>
          <w:lang w:val="en-US"/>
        </w:rPr>
        <w:t xml:space="preserve"> August 2021</w:t>
      </w:r>
      <w:r w:rsidRPr="00701EFD">
        <w:rPr>
          <w:rFonts w:cs="Segoe UI"/>
          <w:color w:val="000000"/>
          <w:szCs w:val="20"/>
          <w:lang w:val="en-US"/>
        </w:rPr>
        <w:t>. Incomplete applications will be excluded from further consideration.</w:t>
      </w:r>
    </w:p>
    <w:p w14:paraId="3EEFAF50" w14:textId="10F15FEA" w:rsidR="00EA481A" w:rsidRPr="00701EFD" w:rsidRDefault="00EA481A" w:rsidP="00DB6D20">
      <w:pPr>
        <w:autoSpaceDE w:val="0"/>
        <w:autoSpaceDN w:val="0"/>
        <w:adjustRightInd w:val="0"/>
        <w:spacing w:before="0" w:after="0"/>
        <w:jc w:val="both"/>
        <w:rPr>
          <w:rFonts w:cs="Saira"/>
          <w:color w:val="000000"/>
          <w:szCs w:val="20"/>
          <w:lang w:val="en-US"/>
        </w:rPr>
      </w:pPr>
    </w:p>
    <w:p w14:paraId="2C4C3A7E" w14:textId="140146B9" w:rsidR="00EA1B2E" w:rsidRPr="00701EFD" w:rsidRDefault="00EA1B2E" w:rsidP="00EA1B2E">
      <w:pPr>
        <w:autoSpaceDE w:val="0"/>
        <w:autoSpaceDN w:val="0"/>
        <w:adjustRightInd w:val="0"/>
        <w:spacing w:before="0" w:after="0"/>
        <w:jc w:val="both"/>
        <w:rPr>
          <w:b/>
          <w:bCs/>
          <w:sz w:val="32"/>
          <w:szCs w:val="32"/>
          <w:lang w:val="en-US"/>
        </w:rPr>
      </w:pPr>
      <w:r w:rsidRPr="00701EFD">
        <w:rPr>
          <w:b/>
          <w:bCs/>
          <w:sz w:val="32"/>
          <w:szCs w:val="32"/>
          <w:lang w:val="en-US"/>
        </w:rPr>
        <w:t>11. Payment schedule</w:t>
      </w:r>
    </w:p>
    <w:p w14:paraId="036CB364" w14:textId="77777777" w:rsidR="00EA1B2E" w:rsidRPr="00701EFD" w:rsidRDefault="00EA1B2E" w:rsidP="00EA1B2E">
      <w:pPr>
        <w:autoSpaceDE w:val="0"/>
        <w:autoSpaceDN w:val="0"/>
        <w:adjustRightInd w:val="0"/>
        <w:spacing w:before="0" w:after="0"/>
        <w:jc w:val="both"/>
        <w:rPr>
          <w:rFonts w:cs="Segoe UI"/>
          <w:color w:val="000000"/>
          <w:sz w:val="26"/>
          <w:szCs w:val="26"/>
          <w:lang w:val="en-US"/>
        </w:rPr>
      </w:pPr>
    </w:p>
    <w:p w14:paraId="7C2ABEF8" w14:textId="092FD512" w:rsidR="00EA1B2E" w:rsidRPr="00701EFD" w:rsidRDefault="00EA1B2E" w:rsidP="00EA1B2E">
      <w:pPr>
        <w:autoSpaceDE w:val="0"/>
        <w:autoSpaceDN w:val="0"/>
        <w:adjustRightInd w:val="0"/>
        <w:spacing w:before="0" w:after="71"/>
        <w:jc w:val="both"/>
        <w:rPr>
          <w:rFonts w:cs="Calibri"/>
          <w:color w:val="000000"/>
          <w:szCs w:val="20"/>
          <w:lang w:val="en-US"/>
        </w:rPr>
      </w:pPr>
      <w:r w:rsidRPr="00701EFD">
        <w:rPr>
          <w:rFonts w:cs="Calibri"/>
          <w:color w:val="000000"/>
          <w:szCs w:val="20"/>
          <w:lang w:val="en-US"/>
        </w:rPr>
        <w:t xml:space="preserve">• 20% payment upon satisfactory delivery of the final Inception Report </w:t>
      </w:r>
    </w:p>
    <w:p w14:paraId="0EED206A" w14:textId="6B9F52DE" w:rsidR="00EA1B2E" w:rsidRPr="00701EFD" w:rsidRDefault="00EA1B2E" w:rsidP="00EA1B2E">
      <w:pPr>
        <w:autoSpaceDE w:val="0"/>
        <w:autoSpaceDN w:val="0"/>
        <w:adjustRightInd w:val="0"/>
        <w:spacing w:before="0" w:after="71"/>
        <w:jc w:val="both"/>
        <w:rPr>
          <w:rFonts w:cs="Calibri"/>
          <w:color w:val="000000"/>
          <w:szCs w:val="20"/>
          <w:lang w:val="en-US"/>
        </w:rPr>
      </w:pPr>
      <w:r w:rsidRPr="00701EFD">
        <w:rPr>
          <w:rFonts w:cs="Calibri"/>
          <w:color w:val="000000"/>
          <w:szCs w:val="20"/>
          <w:lang w:val="en-US"/>
        </w:rPr>
        <w:t xml:space="preserve">• 40% payment upon satisfactory delivery of the draft </w:t>
      </w:r>
      <w:r w:rsidR="00A44DFB" w:rsidRPr="00701EFD">
        <w:rPr>
          <w:rFonts w:cs="Calibri"/>
          <w:color w:val="000000"/>
          <w:szCs w:val="20"/>
          <w:lang w:val="en-US"/>
        </w:rPr>
        <w:t>Evaluation R</w:t>
      </w:r>
      <w:r w:rsidRPr="00701EFD">
        <w:rPr>
          <w:rFonts w:cs="Calibri"/>
          <w:color w:val="000000"/>
          <w:szCs w:val="20"/>
          <w:lang w:val="en-US"/>
        </w:rPr>
        <w:t>eport.</w:t>
      </w:r>
    </w:p>
    <w:p w14:paraId="3A0140C6" w14:textId="1C29A22F" w:rsidR="00EA1B2E" w:rsidRPr="00701EFD" w:rsidRDefault="00EA1B2E" w:rsidP="00EA1B2E">
      <w:pPr>
        <w:autoSpaceDE w:val="0"/>
        <w:autoSpaceDN w:val="0"/>
        <w:adjustRightInd w:val="0"/>
        <w:spacing w:before="0" w:after="0"/>
        <w:jc w:val="both"/>
        <w:rPr>
          <w:rFonts w:cs="Calibri"/>
          <w:color w:val="000000"/>
          <w:szCs w:val="20"/>
          <w:lang w:val="en-US"/>
        </w:rPr>
      </w:pPr>
      <w:r w:rsidRPr="00701EFD">
        <w:rPr>
          <w:rFonts w:cs="Calibri"/>
          <w:color w:val="000000"/>
          <w:szCs w:val="20"/>
          <w:lang w:val="en-US"/>
        </w:rPr>
        <w:t xml:space="preserve">• 40% payment upon satisfactory delivery of the final </w:t>
      </w:r>
      <w:r w:rsidR="00A44DFB" w:rsidRPr="00701EFD">
        <w:rPr>
          <w:rFonts w:cs="Calibri"/>
          <w:color w:val="000000"/>
          <w:szCs w:val="20"/>
          <w:lang w:val="en-US"/>
        </w:rPr>
        <w:t>Evaluation R</w:t>
      </w:r>
      <w:r w:rsidRPr="00701EFD">
        <w:rPr>
          <w:rFonts w:cs="Calibri"/>
          <w:color w:val="000000"/>
          <w:szCs w:val="20"/>
          <w:lang w:val="en-US"/>
        </w:rPr>
        <w:t>eport</w:t>
      </w:r>
      <w:r w:rsidR="00A44DFB" w:rsidRPr="00701EFD">
        <w:rPr>
          <w:rFonts w:cs="Calibri"/>
          <w:color w:val="000000"/>
          <w:szCs w:val="20"/>
          <w:lang w:val="en-US"/>
        </w:rPr>
        <w:t>.</w:t>
      </w:r>
      <w:r w:rsidRPr="00701EFD">
        <w:rPr>
          <w:rFonts w:cs="Calibri"/>
          <w:color w:val="000000"/>
          <w:szCs w:val="20"/>
          <w:lang w:val="en-US"/>
        </w:rPr>
        <w:t xml:space="preserve"> </w:t>
      </w:r>
    </w:p>
    <w:p w14:paraId="16F95FC3" w14:textId="6B8D534C" w:rsidR="009338AE" w:rsidRPr="00701EFD" w:rsidRDefault="009338AE" w:rsidP="00DB6D20">
      <w:pPr>
        <w:spacing w:before="0" w:after="0"/>
        <w:jc w:val="both"/>
        <w:rPr>
          <w:b/>
          <w:bCs/>
          <w:sz w:val="32"/>
          <w:szCs w:val="32"/>
          <w:lang w:val="en-US"/>
        </w:rPr>
      </w:pPr>
      <w:r w:rsidRPr="00701EFD">
        <w:rPr>
          <w:b/>
          <w:bCs/>
          <w:sz w:val="32"/>
          <w:szCs w:val="32"/>
          <w:lang w:val="en-US"/>
        </w:rPr>
        <w:t>1</w:t>
      </w:r>
      <w:r w:rsidR="00EA1B2E" w:rsidRPr="00701EFD">
        <w:rPr>
          <w:b/>
          <w:bCs/>
          <w:sz w:val="32"/>
          <w:szCs w:val="32"/>
          <w:lang w:val="en-US"/>
        </w:rPr>
        <w:t>2</w:t>
      </w:r>
      <w:r w:rsidRPr="00701EFD">
        <w:rPr>
          <w:b/>
          <w:bCs/>
          <w:sz w:val="32"/>
          <w:szCs w:val="32"/>
          <w:lang w:val="en-US"/>
        </w:rPr>
        <w:t>. Evaluator Ethics</w:t>
      </w:r>
    </w:p>
    <w:p w14:paraId="5B9B7A88" w14:textId="76B8A6B8" w:rsidR="009338AE" w:rsidRPr="00701EFD" w:rsidRDefault="009338AE" w:rsidP="00DB6D20">
      <w:pPr>
        <w:autoSpaceDE w:val="0"/>
        <w:autoSpaceDN w:val="0"/>
        <w:adjustRightInd w:val="0"/>
        <w:spacing w:before="0" w:after="0"/>
        <w:jc w:val="both"/>
        <w:rPr>
          <w:rFonts w:cs="Saira"/>
          <w:color w:val="000000"/>
          <w:szCs w:val="20"/>
          <w:lang w:val="en-US"/>
        </w:rPr>
      </w:pPr>
    </w:p>
    <w:p w14:paraId="24E0CF97" w14:textId="41367EEB" w:rsidR="009338AE" w:rsidRPr="00701EFD" w:rsidRDefault="00283A46" w:rsidP="00DB6D20">
      <w:pPr>
        <w:autoSpaceDE w:val="0"/>
        <w:autoSpaceDN w:val="0"/>
        <w:adjustRightInd w:val="0"/>
        <w:spacing w:before="0" w:after="0"/>
        <w:jc w:val="both"/>
        <w:rPr>
          <w:rFonts w:cs="Calibri"/>
          <w:color w:val="000000"/>
          <w:szCs w:val="20"/>
          <w:lang w:val="en-US"/>
        </w:rPr>
      </w:pPr>
      <w:r w:rsidRPr="00701EFD">
        <w:rPr>
          <w:rFonts w:cs="Calibri"/>
          <w:color w:val="000000"/>
          <w:szCs w:val="20"/>
          <w:lang w:val="en-US"/>
        </w:rPr>
        <w:t>Evaluators</w:t>
      </w:r>
      <w:r w:rsidR="00DA7882" w:rsidRPr="00701EFD">
        <w:rPr>
          <w:rFonts w:cs="Calibri"/>
          <w:color w:val="000000"/>
          <w:szCs w:val="20"/>
          <w:lang w:val="en-US"/>
        </w:rPr>
        <w:t xml:space="preserve"> </w:t>
      </w:r>
      <w:r w:rsidR="009338AE" w:rsidRPr="00701EFD">
        <w:rPr>
          <w:rFonts w:cs="Calibri"/>
          <w:color w:val="000000"/>
          <w:szCs w:val="20"/>
          <w:lang w:val="en-US"/>
        </w:rPr>
        <w:t xml:space="preserve">will be held to the highest ethical standards. The </w:t>
      </w:r>
      <w:r w:rsidRPr="00701EFD">
        <w:rPr>
          <w:rFonts w:cs="Calibri"/>
          <w:color w:val="000000"/>
          <w:szCs w:val="20"/>
          <w:lang w:val="en-US"/>
        </w:rPr>
        <w:t>evaluators</w:t>
      </w:r>
      <w:r w:rsidR="00DA7882" w:rsidRPr="00701EFD">
        <w:rPr>
          <w:rFonts w:cs="Calibri"/>
          <w:color w:val="000000"/>
          <w:szCs w:val="20"/>
          <w:lang w:val="en-US"/>
        </w:rPr>
        <w:t xml:space="preserve"> </w:t>
      </w:r>
      <w:r w:rsidR="009338AE" w:rsidRPr="00701EFD">
        <w:rPr>
          <w:rFonts w:cs="Calibri"/>
          <w:color w:val="000000"/>
          <w:szCs w:val="20"/>
          <w:lang w:val="en-US"/>
        </w:rPr>
        <w:t>must safeguard the rights and confidentiality of information providers, interviewees, and stakeholders. The evaluator must also ensure security of collected information before and after the evaluation. The information knowledge and data gathered in the evaluation process must also be solely used for the evaluation.</w:t>
      </w:r>
    </w:p>
    <w:p w14:paraId="55A091B0" w14:textId="77777777" w:rsidR="001A4902" w:rsidRPr="00701EFD" w:rsidRDefault="001A4902" w:rsidP="00DB6D20">
      <w:pPr>
        <w:autoSpaceDE w:val="0"/>
        <w:autoSpaceDN w:val="0"/>
        <w:adjustRightInd w:val="0"/>
        <w:spacing w:before="0" w:after="71"/>
        <w:jc w:val="both"/>
        <w:rPr>
          <w:rFonts w:cs="Calibri"/>
          <w:color w:val="000000"/>
          <w:szCs w:val="20"/>
          <w:lang w:val="en-US"/>
        </w:rPr>
      </w:pPr>
    </w:p>
    <w:sectPr w:rsidR="001A4902" w:rsidRPr="00701EFD" w:rsidSect="00166882">
      <w:headerReference w:type="default" r:id="rId14"/>
      <w:footerReference w:type="default" r:id="rId15"/>
      <w:headerReference w:type="first" r:id="rId16"/>
      <w:pgSz w:w="11906" w:h="16838"/>
      <w:pgMar w:top="1985" w:right="1417" w:bottom="1417" w:left="1417" w:header="708" w:footer="3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D1022" w14:textId="77777777" w:rsidR="00FF5C29" w:rsidRDefault="00FF5C29" w:rsidP="007E0973">
      <w:pPr>
        <w:spacing w:after="0"/>
      </w:pPr>
      <w:r>
        <w:separator/>
      </w:r>
    </w:p>
  </w:endnote>
  <w:endnote w:type="continuationSeparator" w:id="0">
    <w:p w14:paraId="4C148672" w14:textId="77777777" w:rsidR="00FF5C29" w:rsidRDefault="00FF5C29" w:rsidP="007E09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altName w:val="Saira"/>
    <w:panose1 w:val="00000500000000000000"/>
    <w:charset w:val="00"/>
    <w:family w:val="auto"/>
    <w:pitch w:val="variable"/>
    <w:sig w:usb0="2000000F" w:usb1="00000000" w:usb2="000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Saira ExtraBold">
    <w:altName w:val="Saira"/>
    <w:panose1 w:val="00000900000000000000"/>
    <w:charset w:val="00"/>
    <w:family w:val="auto"/>
    <w:pitch w:val="variable"/>
    <w:sig w:usb0="2000000F" w:usb1="00000000" w:usb2="00000000" w:usb3="00000000" w:csb0="00000193"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4363718"/>
      <w:docPartObj>
        <w:docPartGallery w:val="Page Numbers (Bottom of Page)"/>
        <w:docPartUnique/>
      </w:docPartObj>
    </w:sdtPr>
    <w:sdtEndPr>
      <w:rPr>
        <w:noProof/>
      </w:rPr>
    </w:sdtEndPr>
    <w:sdtContent>
      <w:p w14:paraId="194DF007" w14:textId="77777777" w:rsidR="0008749E" w:rsidRDefault="0008749E" w:rsidP="0063493B">
        <w:pPr>
          <w:pStyle w:val="Footer"/>
          <w:ind w:right="-1023"/>
          <w:jc w:val="right"/>
        </w:pPr>
        <w:r>
          <w:fldChar w:fldCharType="begin"/>
        </w:r>
        <w:r>
          <w:instrText xml:space="preserve"> PAGE   \* MERGEFORMAT </w:instrText>
        </w:r>
        <w:r>
          <w:fldChar w:fldCharType="separate"/>
        </w:r>
        <w:r>
          <w:rPr>
            <w:noProof/>
          </w:rPr>
          <w:t>1</w:t>
        </w:r>
        <w:r>
          <w:rPr>
            <w:noProof/>
          </w:rPr>
          <w:fldChar w:fldCharType="end"/>
        </w:r>
      </w:p>
    </w:sdtContent>
  </w:sdt>
  <w:p w14:paraId="5DFDF034" w14:textId="77777777" w:rsidR="0008749E" w:rsidRDefault="00087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7492A7" w14:textId="77777777" w:rsidR="00FF5C29" w:rsidRDefault="00FF5C29" w:rsidP="007E0973">
      <w:pPr>
        <w:spacing w:after="0"/>
      </w:pPr>
      <w:r>
        <w:separator/>
      </w:r>
    </w:p>
  </w:footnote>
  <w:footnote w:type="continuationSeparator" w:id="0">
    <w:p w14:paraId="7755E239" w14:textId="77777777" w:rsidR="00FF5C29" w:rsidRDefault="00FF5C29" w:rsidP="007E097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C75EA" w14:textId="77777777" w:rsidR="0008749E" w:rsidRDefault="0008749E">
    <w:pPr>
      <w:pStyle w:val="Header"/>
    </w:pPr>
    <w:r>
      <w:rPr>
        <w:noProof/>
      </w:rPr>
      <w:drawing>
        <wp:anchor distT="0" distB="0" distL="114300" distR="114300" simplePos="0" relativeHeight="251658240" behindDoc="1" locked="0" layoutInCell="1" allowOverlap="1" wp14:anchorId="3CC2A500" wp14:editId="1240D4CF">
          <wp:simplePos x="0" y="0"/>
          <wp:positionH relativeFrom="page">
            <wp:posOffset>0</wp:posOffset>
          </wp:positionH>
          <wp:positionV relativeFrom="page">
            <wp:posOffset>0</wp:posOffset>
          </wp:positionV>
          <wp:extent cx="7559565" cy="10684510"/>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F_Word_2019-02.png"/>
                  <pic:cNvPicPr/>
                </pic:nvPicPr>
                <pic:blipFill>
                  <a:blip r:embed="rId1">
                    <a:extLst>
                      <a:ext uri="{28A0092B-C50C-407E-A947-70E740481C1C}">
                        <a14:useLocalDpi xmlns:a14="http://schemas.microsoft.com/office/drawing/2010/main" val="0"/>
                      </a:ext>
                    </a:extLst>
                  </a:blip>
                  <a:stretch>
                    <a:fillRect/>
                  </a:stretch>
                </pic:blipFill>
                <pic:spPr>
                  <a:xfrm>
                    <a:off x="0" y="0"/>
                    <a:ext cx="755956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4BA90" w14:textId="77777777" w:rsidR="0008749E" w:rsidRDefault="0008749E">
    <w:pPr>
      <w:pStyle w:val="Header"/>
    </w:pPr>
    <w:r>
      <w:rPr>
        <w:noProof/>
      </w:rPr>
      <w:drawing>
        <wp:anchor distT="0" distB="0" distL="114300" distR="114300" simplePos="0" relativeHeight="251659264" behindDoc="1" locked="0" layoutInCell="1" allowOverlap="1" wp14:anchorId="5C30BA93" wp14:editId="54728E24">
          <wp:simplePos x="0" y="0"/>
          <wp:positionH relativeFrom="page">
            <wp:posOffset>1524</wp:posOffset>
          </wp:positionH>
          <wp:positionV relativeFrom="page">
            <wp:posOffset>0</wp:posOffset>
          </wp:positionV>
          <wp:extent cx="10680619" cy="7556812"/>
          <wp:effectExtent l="0" t="0" r="698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AF_Word_2019-01.png"/>
                  <pic:cNvPicPr/>
                </pic:nvPicPr>
                <pic:blipFill>
                  <a:blip r:embed="rId1">
                    <a:extLst>
                      <a:ext uri="{28A0092B-C50C-407E-A947-70E740481C1C}">
                        <a14:useLocalDpi xmlns:a14="http://schemas.microsoft.com/office/drawing/2010/main" val="0"/>
                      </a:ext>
                    </a:extLst>
                  </a:blip>
                  <a:stretch>
                    <a:fillRect/>
                  </a:stretch>
                </pic:blipFill>
                <pic:spPr>
                  <a:xfrm>
                    <a:off x="0" y="0"/>
                    <a:ext cx="10680619" cy="75568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6D5FD6"/>
    <w:multiLevelType w:val="hybridMultilevel"/>
    <w:tmpl w:val="C1F72B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CCD29F1"/>
    <w:multiLevelType w:val="hybridMultilevel"/>
    <w:tmpl w:val="12C5EC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9E27D1"/>
    <w:multiLevelType w:val="hybridMultilevel"/>
    <w:tmpl w:val="5EBC21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1C0B11"/>
    <w:multiLevelType w:val="hybridMultilevel"/>
    <w:tmpl w:val="B506FFA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C743722"/>
    <w:multiLevelType w:val="hybridMultilevel"/>
    <w:tmpl w:val="AD761BA6"/>
    <w:lvl w:ilvl="0" w:tplc="FFFFFFFF">
      <w:start w:val="1"/>
      <w:numFmt w:val="ideographDigital"/>
      <w:lvlText w:val=""/>
      <w:lvlJc w:val="left"/>
    </w:lvl>
    <w:lvl w:ilvl="1" w:tplc="100C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F6813A5"/>
    <w:multiLevelType w:val="hybridMultilevel"/>
    <w:tmpl w:val="A9C0B63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5992631"/>
    <w:multiLevelType w:val="hybridMultilevel"/>
    <w:tmpl w:val="49D2DA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B4C2DF1"/>
    <w:multiLevelType w:val="hybridMultilevel"/>
    <w:tmpl w:val="34EA3FA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2D243772"/>
    <w:multiLevelType w:val="hybridMultilevel"/>
    <w:tmpl w:val="BDA86CB2"/>
    <w:lvl w:ilvl="0" w:tplc="5158F382">
      <w:start w:val="1"/>
      <w:numFmt w:val="lowerLetter"/>
      <w:lvlText w:val=""/>
      <w:lvlJc w:val="left"/>
      <w:rPr>
        <w:lang w:val="en-US"/>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F00515F"/>
    <w:multiLevelType w:val="hybridMultilevel"/>
    <w:tmpl w:val="B19775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4547B1F"/>
    <w:multiLevelType w:val="hybridMultilevel"/>
    <w:tmpl w:val="575275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7170A73"/>
    <w:multiLevelType w:val="hybridMultilevel"/>
    <w:tmpl w:val="C173B86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97F88FA"/>
    <w:multiLevelType w:val="hybridMultilevel"/>
    <w:tmpl w:val="62C5EF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F74C644"/>
    <w:multiLevelType w:val="hybridMultilevel"/>
    <w:tmpl w:val="72216B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2"/>
  </w:num>
  <w:num w:numId="3">
    <w:abstractNumId w:val="9"/>
  </w:num>
  <w:num w:numId="4">
    <w:abstractNumId w:val="2"/>
  </w:num>
  <w:num w:numId="5">
    <w:abstractNumId w:val="6"/>
  </w:num>
  <w:num w:numId="6">
    <w:abstractNumId w:val="13"/>
  </w:num>
  <w:num w:numId="7">
    <w:abstractNumId w:val="11"/>
  </w:num>
  <w:num w:numId="8">
    <w:abstractNumId w:val="3"/>
  </w:num>
  <w:num w:numId="9">
    <w:abstractNumId w:val="4"/>
  </w:num>
  <w:num w:numId="10">
    <w:abstractNumId w:val="10"/>
  </w:num>
  <w:num w:numId="11">
    <w:abstractNumId w:val="1"/>
  </w:num>
  <w:num w:numId="12">
    <w:abstractNumId w:val="0"/>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LockTheme/>
  <w:styleLockQFSet/>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93"/>
    <w:rsid w:val="00003F8B"/>
    <w:rsid w:val="00015D19"/>
    <w:rsid w:val="000178BC"/>
    <w:rsid w:val="00032322"/>
    <w:rsid w:val="00051E52"/>
    <w:rsid w:val="00057948"/>
    <w:rsid w:val="0007693B"/>
    <w:rsid w:val="00077999"/>
    <w:rsid w:val="0008749E"/>
    <w:rsid w:val="000A01E4"/>
    <w:rsid w:val="000B6978"/>
    <w:rsid w:val="000E73C9"/>
    <w:rsid w:val="000F7B0C"/>
    <w:rsid w:val="00112E03"/>
    <w:rsid w:val="00121EDC"/>
    <w:rsid w:val="00147F90"/>
    <w:rsid w:val="00152A52"/>
    <w:rsid w:val="00163933"/>
    <w:rsid w:val="00166882"/>
    <w:rsid w:val="001A4902"/>
    <w:rsid w:val="001B02A8"/>
    <w:rsid w:val="001F5405"/>
    <w:rsid w:val="00202188"/>
    <w:rsid w:val="002259DE"/>
    <w:rsid w:val="00266D09"/>
    <w:rsid w:val="00283A46"/>
    <w:rsid w:val="002E77EA"/>
    <w:rsid w:val="00326DA4"/>
    <w:rsid w:val="00362EDA"/>
    <w:rsid w:val="0036560D"/>
    <w:rsid w:val="003756C3"/>
    <w:rsid w:val="003D2AAD"/>
    <w:rsid w:val="003D51FA"/>
    <w:rsid w:val="003D62DA"/>
    <w:rsid w:val="003F34BF"/>
    <w:rsid w:val="003F448B"/>
    <w:rsid w:val="004232E7"/>
    <w:rsid w:val="0045516F"/>
    <w:rsid w:val="00470900"/>
    <w:rsid w:val="0049526F"/>
    <w:rsid w:val="005157EF"/>
    <w:rsid w:val="00540B36"/>
    <w:rsid w:val="00553DFD"/>
    <w:rsid w:val="005632C0"/>
    <w:rsid w:val="00581FF8"/>
    <w:rsid w:val="00591895"/>
    <w:rsid w:val="005C51BD"/>
    <w:rsid w:val="005D2301"/>
    <w:rsid w:val="005E3FA0"/>
    <w:rsid w:val="005F7044"/>
    <w:rsid w:val="0061227E"/>
    <w:rsid w:val="00613E6E"/>
    <w:rsid w:val="00615B9D"/>
    <w:rsid w:val="00616A9E"/>
    <w:rsid w:val="00625DAD"/>
    <w:rsid w:val="006328DF"/>
    <w:rsid w:val="0063493B"/>
    <w:rsid w:val="00647CDC"/>
    <w:rsid w:val="00650E3F"/>
    <w:rsid w:val="00670A47"/>
    <w:rsid w:val="00672F7E"/>
    <w:rsid w:val="0069271E"/>
    <w:rsid w:val="006B7625"/>
    <w:rsid w:val="006C25DC"/>
    <w:rsid w:val="006F368E"/>
    <w:rsid w:val="006F439B"/>
    <w:rsid w:val="00701EFD"/>
    <w:rsid w:val="00743A92"/>
    <w:rsid w:val="00755FB5"/>
    <w:rsid w:val="00756106"/>
    <w:rsid w:val="00765AAD"/>
    <w:rsid w:val="00774906"/>
    <w:rsid w:val="007763E2"/>
    <w:rsid w:val="007940A7"/>
    <w:rsid w:val="007B4B53"/>
    <w:rsid w:val="007D1D2D"/>
    <w:rsid w:val="007E0973"/>
    <w:rsid w:val="00800412"/>
    <w:rsid w:val="00813D87"/>
    <w:rsid w:val="008348BD"/>
    <w:rsid w:val="00856A4E"/>
    <w:rsid w:val="00864D48"/>
    <w:rsid w:val="008A2E09"/>
    <w:rsid w:val="008C7B7D"/>
    <w:rsid w:val="009201B7"/>
    <w:rsid w:val="00923087"/>
    <w:rsid w:val="00925B73"/>
    <w:rsid w:val="009301EA"/>
    <w:rsid w:val="009338AE"/>
    <w:rsid w:val="00945F68"/>
    <w:rsid w:val="00961620"/>
    <w:rsid w:val="00966830"/>
    <w:rsid w:val="0097211C"/>
    <w:rsid w:val="00990A06"/>
    <w:rsid w:val="009C1D08"/>
    <w:rsid w:val="009C4BD6"/>
    <w:rsid w:val="009D01DC"/>
    <w:rsid w:val="00A00B82"/>
    <w:rsid w:val="00A03AD7"/>
    <w:rsid w:val="00A127D0"/>
    <w:rsid w:val="00A22F2F"/>
    <w:rsid w:val="00A44DFB"/>
    <w:rsid w:val="00A47973"/>
    <w:rsid w:val="00A54C46"/>
    <w:rsid w:val="00A602A2"/>
    <w:rsid w:val="00A7684C"/>
    <w:rsid w:val="00AD0B9C"/>
    <w:rsid w:val="00AF55F8"/>
    <w:rsid w:val="00B02553"/>
    <w:rsid w:val="00B16493"/>
    <w:rsid w:val="00B17DBC"/>
    <w:rsid w:val="00B205B3"/>
    <w:rsid w:val="00B2098E"/>
    <w:rsid w:val="00B22A34"/>
    <w:rsid w:val="00B37943"/>
    <w:rsid w:val="00B50A9C"/>
    <w:rsid w:val="00B50FB9"/>
    <w:rsid w:val="00B555D7"/>
    <w:rsid w:val="00B577FD"/>
    <w:rsid w:val="00B76A10"/>
    <w:rsid w:val="00B80EBA"/>
    <w:rsid w:val="00BF75C5"/>
    <w:rsid w:val="00C0327C"/>
    <w:rsid w:val="00C239CA"/>
    <w:rsid w:val="00C4717B"/>
    <w:rsid w:val="00C57919"/>
    <w:rsid w:val="00C7168C"/>
    <w:rsid w:val="00CD3D57"/>
    <w:rsid w:val="00CE1FCF"/>
    <w:rsid w:val="00CE4D15"/>
    <w:rsid w:val="00D27FC5"/>
    <w:rsid w:val="00D3091F"/>
    <w:rsid w:val="00D32A83"/>
    <w:rsid w:val="00D63BBF"/>
    <w:rsid w:val="00D65349"/>
    <w:rsid w:val="00D71C3F"/>
    <w:rsid w:val="00D85595"/>
    <w:rsid w:val="00D9466C"/>
    <w:rsid w:val="00DA7882"/>
    <w:rsid w:val="00DB6D20"/>
    <w:rsid w:val="00DC544A"/>
    <w:rsid w:val="00DF0C31"/>
    <w:rsid w:val="00DF6778"/>
    <w:rsid w:val="00E00BE6"/>
    <w:rsid w:val="00E021DC"/>
    <w:rsid w:val="00E06EFF"/>
    <w:rsid w:val="00E16DA2"/>
    <w:rsid w:val="00E8506A"/>
    <w:rsid w:val="00E915B6"/>
    <w:rsid w:val="00EA1B2E"/>
    <w:rsid w:val="00EA481A"/>
    <w:rsid w:val="00EE5BA7"/>
    <w:rsid w:val="00F025C4"/>
    <w:rsid w:val="00F22804"/>
    <w:rsid w:val="00F43C4F"/>
    <w:rsid w:val="00F6272C"/>
    <w:rsid w:val="00F92C67"/>
    <w:rsid w:val="00FD51E1"/>
    <w:rsid w:val="00FE203F"/>
    <w:rsid w:val="00FF5C29"/>
    <w:rsid w:val="00FF62A8"/>
    <w:rsid w:val="00FF67D5"/>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C64D4C"/>
  <w15:docId w15:val="{5E0CBE26-158C-4B58-B271-05F8E59D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H"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902"/>
    <w:pPr>
      <w:spacing w:before="120" w:after="120" w:line="240" w:lineRule="auto"/>
    </w:pPr>
    <w:rPr>
      <w:sz w:val="20"/>
    </w:rPr>
  </w:style>
  <w:style w:type="paragraph" w:styleId="Heading1">
    <w:name w:val="heading 1"/>
    <w:basedOn w:val="Normal"/>
    <w:next w:val="Normal"/>
    <w:link w:val="Heading1Char"/>
    <w:uiPriority w:val="9"/>
    <w:qFormat/>
    <w:rsid w:val="008348BD"/>
    <w:pPr>
      <w:keepNext/>
      <w:keepLines/>
      <w:spacing w:before="480" w:after="0"/>
      <w:outlineLvl w:val="0"/>
    </w:pPr>
    <w:rPr>
      <w:rFonts w:asciiTheme="majorHAnsi" w:eastAsiaTheme="majorEastAsia" w:hAnsiTheme="majorHAnsi" w:cstheme="majorBidi"/>
      <w:b/>
      <w:bCs/>
      <w:color w:val="00204E" w:themeColor="text1"/>
      <w:sz w:val="32"/>
      <w:szCs w:val="28"/>
    </w:rPr>
  </w:style>
  <w:style w:type="paragraph" w:styleId="Heading2">
    <w:name w:val="heading 2"/>
    <w:basedOn w:val="Normal"/>
    <w:next w:val="Normal"/>
    <w:link w:val="Heading2Char"/>
    <w:uiPriority w:val="9"/>
    <w:unhideWhenUsed/>
    <w:qFormat/>
    <w:rsid w:val="008348BD"/>
    <w:pPr>
      <w:keepNext/>
      <w:keepLines/>
      <w:spacing w:before="200" w:after="0"/>
      <w:outlineLvl w:val="1"/>
    </w:pPr>
    <w:rPr>
      <w:rFonts w:asciiTheme="majorHAnsi" w:eastAsiaTheme="majorEastAsia" w:hAnsiTheme="majorHAnsi" w:cstheme="majorBidi"/>
      <w:b/>
      <w:bCs/>
      <w:color w:val="F0AB00" w:themeColor="accent1"/>
      <w:sz w:val="26"/>
      <w:szCs w:val="26"/>
    </w:rPr>
  </w:style>
  <w:style w:type="paragraph" w:styleId="Heading3">
    <w:name w:val="heading 3"/>
    <w:basedOn w:val="Normal"/>
    <w:next w:val="Normal"/>
    <w:link w:val="Heading3Char"/>
    <w:uiPriority w:val="9"/>
    <w:unhideWhenUsed/>
    <w:qFormat/>
    <w:rsid w:val="00A7684C"/>
    <w:pPr>
      <w:keepNext/>
      <w:keepLines/>
      <w:spacing w:before="200" w:after="0"/>
      <w:outlineLvl w:val="2"/>
    </w:pPr>
    <w:rPr>
      <w:rFonts w:asciiTheme="majorHAnsi" w:eastAsiaTheme="majorEastAsia" w:hAnsiTheme="majorHAnsi" w:cstheme="majorBidi"/>
      <w:b/>
      <w:bCs/>
      <w:color w:val="00204E" w:themeColor="text2"/>
      <w:sz w:val="22"/>
    </w:rPr>
  </w:style>
  <w:style w:type="paragraph" w:styleId="Heading4">
    <w:name w:val="heading 4"/>
    <w:basedOn w:val="Normal"/>
    <w:next w:val="Normal"/>
    <w:link w:val="Heading4Char"/>
    <w:uiPriority w:val="9"/>
    <w:unhideWhenUsed/>
    <w:qFormat/>
    <w:rsid w:val="00A7684C"/>
    <w:pPr>
      <w:keepNext/>
      <w:keepLines/>
      <w:spacing w:before="200" w:after="0"/>
      <w:outlineLvl w:val="3"/>
    </w:pPr>
    <w:rPr>
      <w:rFonts w:asciiTheme="majorHAnsi" w:eastAsiaTheme="majorEastAsia" w:hAnsiTheme="majorHAnsi" w:cstheme="majorBidi"/>
      <w:b/>
      <w:bCs/>
      <w:i/>
      <w:iCs/>
      <w:color w:val="F0AB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973"/>
    <w:pPr>
      <w:tabs>
        <w:tab w:val="center" w:pos="4536"/>
        <w:tab w:val="right" w:pos="9072"/>
      </w:tabs>
      <w:spacing w:after="0"/>
    </w:pPr>
  </w:style>
  <w:style w:type="character" w:customStyle="1" w:styleId="HeaderChar">
    <w:name w:val="Header Char"/>
    <w:basedOn w:val="DefaultParagraphFont"/>
    <w:link w:val="Header"/>
    <w:uiPriority w:val="99"/>
    <w:rsid w:val="007E0973"/>
  </w:style>
  <w:style w:type="paragraph" w:styleId="Footer">
    <w:name w:val="footer"/>
    <w:basedOn w:val="Normal"/>
    <w:link w:val="FooterChar"/>
    <w:uiPriority w:val="99"/>
    <w:unhideWhenUsed/>
    <w:rsid w:val="007E0973"/>
    <w:pPr>
      <w:tabs>
        <w:tab w:val="center" w:pos="4536"/>
        <w:tab w:val="right" w:pos="9072"/>
      </w:tabs>
      <w:spacing w:after="0"/>
    </w:pPr>
  </w:style>
  <w:style w:type="character" w:customStyle="1" w:styleId="FooterChar">
    <w:name w:val="Footer Char"/>
    <w:basedOn w:val="DefaultParagraphFont"/>
    <w:link w:val="Footer"/>
    <w:uiPriority w:val="99"/>
    <w:rsid w:val="007E0973"/>
  </w:style>
  <w:style w:type="paragraph" w:styleId="BalloonText">
    <w:name w:val="Balloon Text"/>
    <w:basedOn w:val="Normal"/>
    <w:link w:val="BalloonTextChar"/>
    <w:uiPriority w:val="99"/>
    <w:semiHidden/>
    <w:unhideWhenUsed/>
    <w:rsid w:val="007E09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973"/>
    <w:rPr>
      <w:rFonts w:ascii="Tahoma" w:hAnsi="Tahoma" w:cs="Tahoma"/>
      <w:sz w:val="16"/>
      <w:szCs w:val="16"/>
    </w:rPr>
  </w:style>
  <w:style w:type="paragraph" w:styleId="Title">
    <w:name w:val="Title"/>
    <w:basedOn w:val="Normal"/>
    <w:next w:val="Normal"/>
    <w:link w:val="TitleChar"/>
    <w:uiPriority w:val="10"/>
    <w:qFormat/>
    <w:rsid w:val="00A7684C"/>
    <w:pPr>
      <w:pBdr>
        <w:bottom w:val="single" w:sz="8" w:space="4" w:color="F0AB00" w:themeColor="accent1"/>
      </w:pBdr>
      <w:spacing w:after="300"/>
      <w:contextualSpacing/>
    </w:pPr>
    <w:rPr>
      <w:rFonts w:asciiTheme="majorHAnsi" w:eastAsiaTheme="majorEastAsia" w:hAnsiTheme="majorHAnsi" w:cstheme="majorBidi"/>
      <w:color w:val="00204E" w:themeColor="text2"/>
      <w:spacing w:val="5"/>
      <w:kern w:val="28"/>
      <w:sz w:val="52"/>
      <w:szCs w:val="52"/>
    </w:rPr>
  </w:style>
  <w:style w:type="character" w:customStyle="1" w:styleId="TitleChar">
    <w:name w:val="Title Char"/>
    <w:basedOn w:val="DefaultParagraphFont"/>
    <w:link w:val="Title"/>
    <w:uiPriority w:val="10"/>
    <w:rsid w:val="00A7684C"/>
    <w:rPr>
      <w:rFonts w:asciiTheme="majorHAnsi" w:eastAsiaTheme="majorEastAsia" w:hAnsiTheme="majorHAnsi" w:cstheme="majorBidi"/>
      <w:color w:val="00204E" w:themeColor="text2"/>
      <w:spacing w:val="5"/>
      <w:kern w:val="28"/>
      <w:sz w:val="52"/>
      <w:szCs w:val="52"/>
    </w:rPr>
  </w:style>
  <w:style w:type="character" w:customStyle="1" w:styleId="Heading1Char">
    <w:name w:val="Heading 1 Char"/>
    <w:basedOn w:val="DefaultParagraphFont"/>
    <w:link w:val="Heading1"/>
    <w:uiPriority w:val="9"/>
    <w:rsid w:val="008348BD"/>
    <w:rPr>
      <w:rFonts w:asciiTheme="majorHAnsi" w:eastAsiaTheme="majorEastAsia" w:hAnsiTheme="majorHAnsi" w:cstheme="majorBidi"/>
      <w:b/>
      <w:bCs/>
      <w:color w:val="00204E" w:themeColor="text1"/>
      <w:sz w:val="32"/>
      <w:szCs w:val="28"/>
    </w:rPr>
  </w:style>
  <w:style w:type="character" w:customStyle="1" w:styleId="Heading2Char">
    <w:name w:val="Heading 2 Char"/>
    <w:basedOn w:val="DefaultParagraphFont"/>
    <w:link w:val="Heading2"/>
    <w:uiPriority w:val="9"/>
    <w:rsid w:val="008348BD"/>
    <w:rPr>
      <w:rFonts w:asciiTheme="majorHAnsi" w:eastAsiaTheme="majorEastAsia" w:hAnsiTheme="majorHAnsi" w:cstheme="majorBidi"/>
      <w:b/>
      <w:bCs/>
      <w:color w:val="F0AB00" w:themeColor="accent1"/>
      <w:sz w:val="26"/>
      <w:szCs w:val="26"/>
    </w:rPr>
  </w:style>
  <w:style w:type="paragraph" w:styleId="Subtitle">
    <w:name w:val="Subtitle"/>
    <w:basedOn w:val="Normal"/>
    <w:next w:val="Normal"/>
    <w:link w:val="SubtitleChar"/>
    <w:uiPriority w:val="11"/>
    <w:qFormat/>
    <w:rsid w:val="008348BD"/>
    <w:pPr>
      <w:numPr>
        <w:ilvl w:val="1"/>
      </w:numPr>
    </w:pPr>
    <w:rPr>
      <w:rFonts w:asciiTheme="majorHAnsi" w:eastAsiaTheme="majorEastAsia" w:hAnsiTheme="majorHAnsi" w:cstheme="majorBidi"/>
      <w:i/>
      <w:iCs/>
      <w:color w:val="F0AB00" w:themeColor="accent1"/>
      <w:spacing w:val="15"/>
      <w:sz w:val="24"/>
      <w:szCs w:val="24"/>
    </w:rPr>
  </w:style>
  <w:style w:type="character" w:customStyle="1" w:styleId="SubtitleChar">
    <w:name w:val="Subtitle Char"/>
    <w:basedOn w:val="DefaultParagraphFont"/>
    <w:link w:val="Subtitle"/>
    <w:uiPriority w:val="11"/>
    <w:rsid w:val="008348BD"/>
    <w:rPr>
      <w:rFonts w:asciiTheme="majorHAnsi" w:eastAsiaTheme="majorEastAsia" w:hAnsiTheme="majorHAnsi" w:cstheme="majorBidi"/>
      <w:i/>
      <w:iCs/>
      <w:color w:val="F0AB00" w:themeColor="accent1"/>
      <w:spacing w:val="15"/>
      <w:sz w:val="24"/>
      <w:szCs w:val="24"/>
    </w:rPr>
  </w:style>
  <w:style w:type="paragraph" w:customStyle="1" w:styleId="FrontCoverDCAF">
    <w:name w:val="Front Cover DCAF"/>
    <w:basedOn w:val="Normal"/>
    <w:link w:val="FrontCoverDCAFChar"/>
    <w:qFormat/>
    <w:rsid w:val="00A7684C"/>
    <w:pPr>
      <w:spacing w:after="80"/>
    </w:pPr>
    <w:rPr>
      <w:rFonts w:asciiTheme="majorHAnsi" w:hAnsiTheme="majorHAnsi"/>
      <w:color w:val="00204E" w:themeColor="text1"/>
      <w:sz w:val="72"/>
      <w:szCs w:val="72"/>
      <w:lang w:val="en-US"/>
    </w:rPr>
  </w:style>
  <w:style w:type="paragraph" w:styleId="NormalWeb">
    <w:name w:val="Normal (Web)"/>
    <w:basedOn w:val="Normal"/>
    <w:uiPriority w:val="99"/>
    <w:semiHidden/>
    <w:unhideWhenUsed/>
    <w:rsid w:val="006C25DC"/>
    <w:pPr>
      <w:spacing w:before="100" w:beforeAutospacing="1" w:after="100" w:afterAutospacing="1"/>
    </w:pPr>
    <w:rPr>
      <w:rFonts w:ascii="Times New Roman" w:eastAsia="Times New Roman" w:hAnsi="Times New Roman" w:cs="Times New Roman"/>
      <w:sz w:val="24"/>
      <w:szCs w:val="24"/>
    </w:rPr>
  </w:style>
  <w:style w:type="character" w:customStyle="1" w:styleId="FrontCoverDCAFChar">
    <w:name w:val="Front Cover DCAF Char"/>
    <w:basedOn w:val="DefaultParagraphFont"/>
    <w:link w:val="FrontCoverDCAF"/>
    <w:rsid w:val="00A7684C"/>
    <w:rPr>
      <w:rFonts w:asciiTheme="majorHAnsi" w:hAnsiTheme="majorHAnsi"/>
      <w:color w:val="00204E" w:themeColor="text1"/>
      <w:sz w:val="72"/>
      <w:szCs w:val="72"/>
      <w:lang w:val="en-US"/>
    </w:rPr>
  </w:style>
  <w:style w:type="character" w:styleId="Hyperlink">
    <w:name w:val="Hyperlink"/>
    <w:basedOn w:val="DefaultParagraphFont"/>
    <w:uiPriority w:val="99"/>
    <w:unhideWhenUsed/>
    <w:rsid w:val="006C25DC"/>
    <w:rPr>
      <w:color w:val="0000FF"/>
      <w:u w:val="single"/>
    </w:rPr>
  </w:style>
  <w:style w:type="paragraph" w:styleId="NoSpacing">
    <w:name w:val="No Spacing"/>
    <w:uiPriority w:val="1"/>
    <w:qFormat/>
    <w:rsid w:val="008348BD"/>
    <w:pPr>
      <w:spacing w:after="0" w:line="240" w:lineRule="auto"/>
    </w:pPr>
  </w:style>
  <w:style w:type="character" w:customStyle="1" w:styleId="Heading3Char">
    <w:name w:val="Heading 3 Char"/>
    <w:basedOn w:val="DefaultParagraphFont"/>
    <w:link w:val="Heading3"/>
    <w:uiPriority w:val="9"/>
    <w:rsid w:val="00A7684C"/>
    <w:rPr>
      <w:rFonts w:asciiTheme="majorHAnsi" w:eastAsiaTheme="majorEastAsia" w:hAnsiTheme="majorHAnsi" w:cstheme="majorBidi"/>
      <w:b/>
      <w:bCs/>
      <w:color w:val="00204E" w:themeColor="text2"/>
    </w:rPr>
  </w:style>
  <w:style w:type="character" w:styleId="IntenseReference">
    <w:name w:val="Intense Reference"/>
    <w:basedOn w:val="DefaultParagraphFont"/>
    <w:uiPriority w:val="32"/>
    <w:qFormat/>
    <w:rsid w:val="008348BD"/>
    <w:rPr>
      <w:b/>
      <w:bCs/>
      <w:smallCaps/>
      <w:color w:val="00B2A9" w:themeColor="accent2"/>
      <w:spacing w:val="5"/>
      <w:u w:val="single"/>
    </w:rPr>
  </w:style>
  <w:style w:type="character" w:styleId="PlaceholderText">
    <w:name w:val="Placeholder Text"/>
    <w:basedOn w:val="DefaultParagraphFont"/>
    <w:uiPriority w:val="99"/>
    <w:semiHidden/>
    <w:rsid w:val="00FE203F"/>
    <w:rPr>
      <w:color w:val="808080"/>
    </w:rPr>
  </w:style>
  <w:style w:type="character" w:styleId="Strong">
    <w:name w:val="Strong"/>
    <w:basedOn w:val="DefaultParagraphFont"/>
    <w:uiPriority w:val="22"/>
    <w:qFormat/>
    <w:rsid w:val="00A7684C"/>
    <w:rPr>
      <w:b/>
      <w:bCs/>
    </w:rPr>
  </w:style>
  <w:style w:type="character" w:customStyle="1" w:styleId="Heading4Char">
    <w:name w:val="Heading 4 Char"/>
    <w:basedOn w:val="DefaultParagraphFont"/>
    <w:link w:val="Heading4"/>
    <w:uiPriority w:val="9"/>
    <w:rsid w:val="00A7684C"/>
    <w:rPr>
      <w:rFonts w:asciiTheme="majorHAnsi" w:eastAsiaTheme="majorEastAsia" w:hAnsiTheme="majorHAnsi" w:cstheme="majorBidi"/>
      <w:b/>
      <w:bCs/>
      <w:i/>
      <w:iCs/>
      <w:color w:val="F0AB00" w:themeColor="accent1"/>
      <w:sz w:val="20"/>
    </w:rPr>
  </w:style>
  <w:style w:type="character" w:styleId="UnresolvedMention">
    <w:name w:val="Unresolved Mention"/>
    <w:basedOn w:val="DefaultParagraphFont"/>
    <w:uiPriority w:val="99"/>
    <w:semiHidden/>
    <w:unhideWhenUsed/>
    <w:rsid w:val="00147F90"/>
    <w:rPr>
      <w:color w:val="605E5C"/>
      <w:shd w:val="clear" w:color="auto" w:fill="E1DFDD"/>
    </w:rPr>
  </w:style>
  <w:style w:type="paragraph" w:customStyle="1" w:styleId="Default">
    <w:name w:val="Default"/>
    <w:rsid w:val="00147F90"/>
    <w:pPr>
      <w:autoSpaceDE w:val="0"/>
      <w:autoSpaceDN w:val="0"/>
      <w:adjustRightInd w:val="0"/>
      <w:spacing w:after="0" w:line="240" w:lineRule="auto"/>
    </w:pPr>
    <w:rPr>
      <w:rFonts w:ascii="Saira ExtraBold" w:hAnsi="Saira ExtraBold" w:cs="Saira ExtraBold"/>
      <w:color w:val="000000"/>
      <w:sz w:val="24"/>
      <w:szCs w:val="24"/>
    </w:rPr>
  </w:style>
  <w:style w:type="paragraph" w:styleId="ListParagraph">
    <w:name w:val="List Paragraph"/>
    <w:basedOn w:val="Normal"/>
    <w:uiPriority w:val="34"/>
    <w:qFormat/>
    <w:rsid w:val="00616A9E"/>
    <w:pPr>
      <w:ind w:left="720"/>
      <w:contextualSpacing/>
    </w:pPr>
  </w:style>
  <w:style w:type="character" w:styleId="CommentReference">
    <w:name w:val="annotation reference"/>
    <w:basedOn w:val="DefaultParagraphFont"/>
    <w:uiPriority w:val="99"/>
    <w:semiHidden/>
    <w:unhideWhenUsed/>
    <w:rsid w:val="00D63BBF"/>
    <w:rPr>
      <w:sz w:val="16"/>
      <w:szCs w:val="16"/>
    </w:rPr>
  </w:style>
  <w:style w:type="paragraph" w:styleId="CommentText">
    <w:name w:val="annotation text"/>
    <w:basedOn w:val="Normal"/>
    <w:link w:val="CommentTextChar"/>
    <w:uiPriority w:val="99"/>
    <w:unhideWhenUsed/>
    <w:rsid w:val="00D63BBF"/>
    <w:rPr>
      <w:szCs w:val="20"/>
    </w:rPr>
  </w:style>
  <w:style w:type="character" w:customStyle="1" w:styleId="CommentTextChar">
    <w:name w:val="Comment Text Char"/>
    <w:basedOn w:val="DefaultParagraphFont"/>
    <w:link w:val="CommentText"/>
    <w:uiPriority w:val="99"/>
    <w:rsid w:val="00D63BBF"/>
    <w:rPr>
      <w:sz w:val="20"/>
      <w:szCs w:val="20"/>
    </w:rPr>
  </w:style>
  <w:style w:type="paragraph" w:styleId="CommentSubject">
    <w:name w:val="annotation subject"/>
    <w:basedOn w:val="CommentText"/>
    <w:next w:val="CommentText"/>
    <w:link w:val="CommentSubjectChar"/>
    <w:uiPriority w:val="99"/>
    <w:semiHidden/>
    <w:unhideWhenUsed/>
    <w:rsid w:val="00D63BBF"/>
    <w:rPr>
      <w:b/>
      <w:bCs/>
    </w:rPr>
  </w:style>
  <w:style w:type="character" w:customStyle="1" w:styleId="CommentSubjectChar">
    <w:name w:val="Comment Subject Char"/>
    <w:basedOn w:val="CommentTextChar"/>
    <w:link w:val="CommentSubject"/>
    <w:uiPriority w:val="99"/>
    <w:semiHidden/>
    <w:rsid w:val="00D63BBF"/>
    <w:rPr>
      <w:b/>
      <w:bCs/>
      <w:sz w:val="20"/>
      <w:szCs w:val="20"/>
    </w:rPr>
  </w:style>
  <w:style w:type="paragraph" w:styleId="Revision">
    <w:name w:val="Revision"/>
    <w:hidden/>
    <w:uiPriority w:val="99"/>
    <w:semiHidden/>
    <w:rsid w:val="00E915B6"/>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1462367">
      <w:bodyDiv w:val="1"/>
      <w:marLeft w:val="0"/>
      <w:marRight w:val="0"/>
      <w:marTop w:val="0"/>
      <w:marBottom w:val="0"/>
      <w:divBdr>
        <w:top w:val="none" w:sz="0" w:space="0" w:color="auto"/>
        <w:left w:val="none" w:sz="0" w:space="0" w:color="auto"/>
        <w:bottom w:val="none" w:sz="0" w:space="0" w:color="auto"/>
        <w:right w:val="none" w:sz="0" w:space="0" w:color="auto"/>
      </w:divBdr>
    </w:div>
    <w:div w:id="164072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PD@dcaf.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caf.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vej\Downloads\DCAF_Word_2019_Landscape_EN%20(1).dotx" TargetMode="External"/></Relationships>
</file>

<file path=word/theme/theme1.xml><?xml version="1.0" encoding="utf-8"?>
<a:theme xmlns:a="http://schemas.openxmlformats.org/drawingml/2006/main" name="Office Theme">
  <a:themeElements>
    <a:clrScheme name="DCAF Brand 2019">
      <a:dk1>
        <a:srgbClr val="00204E"/>
      </a:dk1>
      <a:lt1>
        <a:sysClr val="window" lastClr="FFFFFF"/>
      </a:lt1>
      <a:dk2>
        <a:srgbClr val="00204E"/>
      </a:dk2>
      <a:lt2>
        <a:srgbClr val="FBEABF"/>
      </a:lt2>
      <a:accent1>
        <a:srgbClr val="F0AB00"/>
      </a:accent1>
      <a:accent2>
        <a:srgbClr val="00B2A9"/>
      </a:accent2>
      <a:accent3>
        <a:srgbClr val="8996A0"/>
      </a:accent3>
      <a:accent4>
        <a:srgbClr val="A7B0B8"/>
      </a:accent4>
      <a:accent5>
        <a:srgbClr val="40C5BF"/>
      </a:accent5>
      <a:accent6>
        <a:srgbClr val="F4C040"/>
      </a:accent6>
      <a:hlink>
        <a:srgbClr val="00B2A9"/>
      </a:hlink>
      <a:folHlink>
        <a:srgbClr val="8996A0"/>
      </a:folHlink>
    </a:clrScheme>
    <a:fontScheme name="DCAF Brand 2019">
      <a:majorFont>
        <a:latin typeface="Saira ExtraBold"/>
        <a:ea typeface=""/>
        <a:cs typeface=""/>
      </a:majorFont>
      <a:minorFont>
        <a:latin typeface="Sai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A9AA30F3D58A46B04FE04A637DDD7E" ma:contentTypeVersion="8" ma:contentTypeDescription="Create a new document." ma:contentTypeScope="" ma:versionID="8c994bd116f6732a63e21303675ba4de">
  <xsd:schema xmlns:xsd="http://www.w3.org/2001/XMLSchema" xmlns:xs="http://www.w3.org/2001/XMLSchema" xmlns:p="http://schemas.microsoft.com/office/2006/metadata/properties" xmlns:ns2="a1ec9f4b-03c0-425a-a532-22b772d100b9" xmlns:ns3="4c17f5b6-eb87-4ddb-ba55-74da1aef247e" targetNamespace="http://schemas.microsoft.com/office/2006/metadata/properties" ma:root="true" ma:fieldsID="31e47f9da8868ddcae9b2f0feadff624" ns2:_="" ns3:_="">
    <xsd:import namespace="a1ec9f4b-03c0-425a-a532-22b772d100b9"/>
    <xsd:import namespace="4c17f5b6-eb87-4ddb-ba55-74da1aef247e"/>
    <xsd:element name="properties">
      <xsd:complexType>
        <xsd:sequence>
          <xsd:element name="documentManagement">
            <xsd:complexType>
              <xsd:all>
                <xsd:element ref="ns2:_dlc_DocId" minOccurs="0"/>
                <xsd:element ref="ns2:_dlc_DocIdUrl" minOccurs="0"/>
                <xsd:element ref="ns2:_dlc_DocIdPersistId" minOccurs="0"/>
                <xsd:element ref="ns3:Author0" minOccurs="0"/>
                <xsd:element ref="ns3:Date" minOccurs="0"/>
                <xsd:element ref="ns3:Document_x0020_Type" minOccurs="0"/>
                <xsd:element ref="ns3:Topic" minOccurs="0"/>
                <xsd:element ref="ns3:m55fc488563d4203a07bb791a6a88215"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c9f4b-03c0-425a-a532-22b772d100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9662f0dc-1be5-4811-91cc-75bac2055370}" ma:internalName="TaxCatchAll" ma:showField="CatchAllData" ma:web="a1ec9f4b-03c0-425a-a532-22b772d100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17f5b6-eb87-4ddb-ba55-74da1aef247e" elementFormDefault="qualified">
    <xsd:import namespace="http://schemas.microsoft.com/office/2006/documentManagement/types"/>
    <xsd:import namespace="http://schemas.microsoft.com/office/infopath/2007/PartnerControls"/>
    <xsd:element name="Author0" ma:index="11"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 ma:index="12" nillable="true" ma:displayName="Date" ma:format="DateOnly" ma:internalName="Date">
      <xsd:simpleType>
        <xsd:restriction base="dms:DateTime"/>
      </xsd:simpleType>
    </xsd:element>
    <xsd:element name="Document_x0020_Type" ma:index="14" nillable="true" ma:displayName="Document Type" ma:internalName="Document_x0020_Type">
      <xsd:simpleType>
        <xsd:restriction base="dms:Text">
          <xsd:maxLength value="255"/>
        </xsd:restriction>
      </xsd:simpleType>
    </xsd:element>
    <xsd:element name="Topic" ma:index="15" nillable="true" ma:displayName="Topic" ma:internalName="Topic">
      <xsd:simpleType>
        <xsd:restriction base="dms:Text">
          <xsd:maxLength value="255"/>
        </xsd:restriction>
      </xsd:simpleType>
    </xsd:element>
    <xsd:element name="m55fc488563d4203a07bb791a6a88215" ma:index="17" nillable="true" ma:taxonomy="true" ma:internalName="m55fc488563d4203a07bb791a6a88215" ma:taxonomyFieldName="dssfas" ma:displayName="dssfas" ma:default="27;#Geneva|254c22ee-d66f-4c46-9e88-f806a82edd6b" ma:fieldId="{655fc488-563d-4203-a07b-b791a6a88215}" ma:sspId="18c26448-1d61-4779-974c-517aa6392f1c" ma:termSetId="7a4cb355-3f3b-452d-a623-242df788a02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uthor0 xmlns="4c17f5b6-eb87-4ddb-ba55-74da1aef247e">
      <UserInfo>
        <DisplayName>Amorim Rodrigo</DisplayName>
        <AccountId>200</AccountId>
        <AccountType/>
      </UserInfo>
    </Author0>
    <Document_x0020_Type xmlns="4c17f5b6-eb87-4ddb-ba55-74da1aef247e">Word Template</Document_x0020_Type>
    <Topic xmlns="4c17f5b6-eb87-4ddb-ba55-74da1aef247e">DCAF Standard Template</Topic>
    <Date xmlns="4c17f5b6-eb87-4ddb-ba55-74da1aef247e">2019-07-02T22:00:00+00:00</Date>
    <_dlc_DocId xmlns="a1ec9f4b-03c0-425a-a532-22b772d100b9">HF4RY2MMQTEP-1069230636-38</_dlc_DocId>
    <_dlc_DocIdUrl xmlns="a1ec9f4b-03c0-425a-a532-22b772d100b9">
      <Url>http://portal.dcaf.ch/intranet/_layouts/15/DocIdRedir.aspx?ID=HF4RY2MMQTEP-1069230636-38</Url>
      <Description>HF4RY2MMQTEP-1069230636-38</Description>
    </_dlc_DocIdUrl>
    <m55fc488563d4203a07bb791a6a88215 xmlns="4c17f5b6-eb87-4ddb-ba55-74da1aef247e">
      <Terms xmlns="http://schemas.microsoft.com/office/infopath/2007/PartnerControls">
        <TermInfo xmlns="http://schemas.microsoft.com/office/infopath/2007/PartnerControls">
          <TermName xmlns="http://schemas.microsoft.com/office/infopath/2007/PartnerControls">Geneva</TermName>
          <TermId xmlns="http://schemas.microsoft.com/office/infopath/2007/PartnerControls">254c22ee-d66f-4c46-9e88-f806a82edd6b</TermId>
        </TermInfo>
      </Terms>
    </m55fc488563d4203a07bb791a6a88215>
    <TaxCatchAll xmlns="a1ec9f4b-03c0-425a-a532-22b772d100b9"/>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504058-6D5F-44BA-B79B-514CD016C67D}">
  <ds:schemaRefs>
    <ds:schemaRef ds:uri="http://schemas.openxmlformats.org/officeDocument/2006/bibliography"/>
  </ds:schemaRefs>
</ds:datastoreItem>
</file>

<file path=customXml/itemProps2.xml><?xml version="1.0" encoding="utf-8"?>
<ds:datastoreItem xmlns:ds="http://schemas.openxmlformats.org/officeDocument/2006/customXml" ds:itemID="{7A93465C-B407-4261-A688-6F9555CB61B8}">
  <ds:schemaRefs>
    <ds:schemaRef ds:uri="http://schemas.microsoft.com/sharepoint/v3/contenttype/forms"/>
  </ds:schemaRefs>
</ds:datastoreItem>
</file>

<file path=customXml/itemProps3.xml><?xml version="1.0" encoding="utf-8"?>
<ds:datastoreItem xmlns:ds="http://schemas.openxmlformats.org/officeDocument/2006/customXml" ds:itemID="{3317FDF9-4984-4CBC-98A4-BE8FFB0CE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ec9f4b-03c0-425a-a532-22b772d100b9"/>
    <ds:schemaRef ds:uri="4c17f5b6-eb87-4ddb-ba55-74da1aef2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47975-6850-4C6E-8EDC-96E865CFC883}">
  <ds:schemaRefs>
    <ds:schemaRef ds:uri="http://schemas.microsoft.com/office/2006/metadata/properties"/>
    <ds:schemaRef ds:uri="http://schemas.microsoft.com/office/infopath/2007/PartnerControls"/>
    <ds:schemaRef ds:uri="4c17f5b6-eb87-4ddb-ba55-74da1aef247e"/>
    <ds:schemaRef ds:uri="a1ec9f4b-03c0-425a-a532-22b772d100b9"/>
  </ds:schemaRefs>
</ds:datastoreItem>
</file>

<file path=customXml/itemProps5.xml><?xml version="1.0" encoding="utf-8"?>
<ds:datastoreItem xmlns:ds="http://schemas.openxmlformats.org/officeDocument/2006/customXml" ds:itemID="{53681B23-16C9-4737-B479-3E56442B29E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DCAF_Word_2019_Landscape_EN (1)</Template>
  <TotalTime>32</TotalTime>
  <Pages>8</Pages>
  <Words>2688</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DCAF Word Template English</vt:lpstr>
    </vt:vector>
  </TitlesOfParts>
  <Company/>
  <LinksUpToDate>false</LinksUpToDate>
  <CharactersWithSpaces>17439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DCAF Word Template English</dc:title>
  <dc:subject/>
  <dc:creator>Klever Julia</dc:creator>
  <cp:keywords/>
  <dc:description/>
  <cp:lastModifiedBy>Robinson Abigail</cp:lastModifiedBy>
  <cp:revision>5</cp:revision>
  <cp:lastPrinted>2019-04-08T15:56:00Z</cp:lastPrinted>
  <dcterms:created xsi:type="dcterms:W3CDTF">2021-08-03T16:03:00Z</dcterms:created>
  <dcterms:modified xsi:type="dcterms:W3CDTF">2021-08-03T16:05:00Z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0x010100B4A9AA30F3D58A46B04FE04A637DDD7E</vt:lpwstr>
  </property>
  <property fmtid="{D5CDD505-2E9C-101B-9397-08002B2CF9AE}" pid="3" name="_dlc_DocIdItemGuid">
    <vt:lpwstr>d1ea250d-efea-4078-8c1e-58051db49027</vt:lpwstr>
  </property>
</Properties>
</file>